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eastAsia="等线" w:cs="Arial"/>
          <w:b/>
          <w:bCs/>
          <w:lang w:val="en-US"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R1-220</w:t>
      </w:r>
      <w:r>
        <w:rPr>
          <w:rFonts w:hint="eastAsia" w:ascii="Arial" w:hAnsi="Arial" w:cs="Arial"/>
          <w:b/>
          <w:bCs/>
          <w:lang w:val="en-US" w:eastAsia="zh-CN"/>
        </w:rPr>
        <w:t>5261</w:t>
      </w:r>
      <w:bookmarkStart w:id="2" w:name="_GoBack"/>
      <w:bookmarkEnd w:id="2"/>
    </w:p>
    <w:p>
      <w:pPr>
        <w:tabs>
          <w:tab w:val="center" w:pos="4536"/>
          <w:tab w:val="right" w:pos="9072"/>
        </w:tabs>
        <w:snapToGrid w:val="0"/>
        <w:spacing w:line="288" w:lineRule="auto"/>
        <w:rPr>
          <w:sz w:val="20"/>
        </w:rPr>
      </w:pPr>
      <w:r>
        <w:rPr>
          <w:rFonts w:ascii="Arial" w:hAnsi="Arial" w:eastAsia="MS Mincho" w:cs="Arial"/>
          <w:b/>
          <w:bCs/>
          <w:lang w:eastAsia="ja-JP"/>
        </w:rPr>
        <w:t>e-Meeting, May 9</w:t>
      </w:r>
      <w:r>
        <w:rPr>
          <w:rFonts w:ascii="Arial" w:hAnsi="Arial" w:eastAsia="MS Mincho" w:cs="Arial"/>
          <w:b/>
          <w:bCs/>
          <w:vertAlign w:val="superscript"/>
          <w:lang w:eastAsia="ja-JP"/>
        </w:rPr>
        <w:t>th</w:t>
      </w:r>
      <w:r>
        <w:rPr>
          <w:rFonts w:ascii="Arial" w:hAnsi="Arial" w:eastAsia="MS Mincho" w:cs="Arial"/>
          <w:b/>
          <w:bCs/>
          <w:lang w:eastAsia="ja-JP"/>
        </w:rPr>
        <w:t xml:space="preserve"> –  20</w:t>
      </w:r>
      <w:r>
        <w:rPr>
          <w:rFonts w:ascii="Arial" w:hAnsi="Arial" w:eastAsia="MS Mincho" w:cs="Arial"/>
          <w:b/>
          <w:bCs/>
          <w:vertAlign w:val="superscript"/>
          <w:lang w:eastAsia="ja-JP"/>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r>
        <w:rPr>
          <w:rFonts w:hint="eastAsia" w:ascii="Arial" w:hAnsi="Arial" w:cs="Arial"/>
          <w:b/>
          <w:lang w:eastAsia="zh-CN"/>
        </w:rPr>
        <w:t>3</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rPr>
      </w:pPr>
      <w:r>
        <w:rPr>
          <w:rFonts w:ascii="Arial" w:hAnsi="Arial" w:cs="Arial"/>
          <w:b/>
        </w:rPr>
        <w:t xml:space="preserve">Title: </w:t>
      </w:r>
      <w:r>
        <w:rPr>
          <w:rFonts w:ascii="Arial" w:hAnsi="Arial" w:cs="Arial"/>
          <w:b/>
        </w:rPr>
        <w:tab/>
      </w:r>
      <w:r>
        <w:rPr>
          <w:rFonts w:hint="eastAsia" w:ascii="Arial" w:hAnsi="Arial" w:cs="Arial"/>
          <w:b/>
          <w:lang w:val="en-US" w:eastAsia="zh-CN"/>
        </w:rPr>
        <w:t>E</w:t>
      </w:r>
      <w:r>
        <w:rPr>
          <w:rFonts w:ascii="Arial" w:hAnsi="Arial" w:eastAsia="宋体" w:cs="Arial"/>
          <w:b/>
          <w:i w:val="0"/>
          <w:caps w:val="0"/>
          <w:color w:val="000000"/>
          <w:spacing w:val="0"/>
          <w:sz w:val="24"/>
          <w:szCs w:val="24"/>
          <w:shd w:val="clear" w:fill="FFFFFF"/>
        </w:rPr>
        <w:t>ndorsed TPs for Maintenance on Rel-17 SRS</w:t>
      </w:r>
      <w:r>
        <w:rPr>
          <w:rFonts w:ascii="Arial" w:hAnsi="Arial" w:cs="Arial"/>
          <w:b/>
        </w:rPr>
        <w:t xml:space="preserve"> </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snapToGrid w:val="0"/>
        <w:spacing w:after="60" w:line="288" w:lineRule="auto"/>
        <w:rPr>
          <w:rFonts w:hint="default" w:eastAsia="等线"/>
          <w:sz w:val="18"/>
          <w:szCs w:val="18"/>
          <w:lang w:val="en-US" w:eastAsia="zh-CN"/>
        </w:rPr>
      </w:pPr>
      <w:r>
        <w:rPr>
          <w:rFonts w:hint="eastAsia"/>
          <w:sz w:val="18"/>
          <w:szCs w:val="18"/>
          <w:lang w:val="en-US" w:eastAsia="zh-CN"/>
        </w:rPr>
        <w:t>To endorse the following TPs (i.e., TP#1-2.B, TP#2-5, TP#3-2, TP#3-3 and TP#3-4) in Moderator summary #1 for Maintenance on Rel-17 SRS [1].</w:t>
      </w:r>
    </w:p>
    <w:p>
      <w:pPr>
        <w:rPr>
          <w:sz w:val="20"/>
          <w:szCs w:val="20"/>
          <w:highlight w:val="cyan"/>
          <w:lang w:eastAsia="zh-CN"/>
        </w:rPr>
      </w:pPr>
    </w:p>
    <w:p>
      <w:pPr>
        <w:pStyle w:val="3"/>
        <w:numPr>
          <w:ilvl w:val="0"/>
          <w:numId w:val="8"/>
        </w:numPr>
        <w:spacing w:before="120"/>
        <w:ind w:left="425" w:hanging="425"/>
      </w:pPr>
      <w:r>
        <w:t xml:space="preserve">Summary of </w:t>
      </w:r>
      <w:r>
        <w:rPr>
          <w:rFonts w:hint="eastAsia"/>
          <w:lang w:val="en-US" w:eastAsia="zh-CN"/>
        </w:rPr>
        <w:t>endorsed TPs</w:t>
      </w:r>
    </w:p>
    <w:p>
      <w:pPr>
        <w:pStyle w:val="4"/>
        <w:bidi w:val="0"/>
        <w:rPr>
          <w:rFonts w:hint="default"/>
          <w:lang w:val="en-US" w:eastAsia="zh-CN"/>
        </w:rPr>
      </w:pPr>
      <w:r>
        <w:rPr>
          <w:b/>
          <w:bCs/>
          <w:lang w:eastAsia="zh-CN"/>
        </w:rPr>
        <w:t>TP#</w:t>
      </w:r>
      <w:r>
        <w:rPr>
          <w:rFonts w:hint="eastAsia"/>
          <w:b/>
          <w:bCs/>
          <w:lang w:eastAsia="zh-CN"/>
        </w:rPr>
        <w:t>1-2.B</w:t>
      </w:r>
      <w:r>
        <w:rPr>
          <w:rFonts w:hint="eastAsia"/>
          <w:b/>
          <w:bCs/>
          <w:lang w:val="en-US" w:eastAsia="zh-CN"/>
        </w:rPr>
        <w:t xml:space="preserve">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b/>
          <w:bCs/>
          <w:sz w:val="18"/>
          <w:szCs w:val="18"/>
          <w:u w:val="single"/>
          <w:lang w:eastAsia="zh-CN"/>
        </w:rPr>
      </w:pPr>
      <w:r>
        <w:rPr>
          <w:b/>
          <w:bCs/>
          <w:sz w:val="18"/>
          <w:szCs w:val="18"/>
          <w:u w:val="single"/>
          <w:lang w:eastAsia="zh-CN"/>
        </w:rPr>
        <w:t>Reason of change:</w:t>
      </w:r>
    </w:p>
    <w:p>
      <w:pPr>
        <w:rPr>
          <w:sz w:val="18"/>
          <w:szCs w:val="18"/>
          <w:lang w:eastAsia="zh-CN"/>
        </w:rPr>
      </w:pPr>
      <w:r>
        <w:rPr>
          <w:sz w:val="18"/>
          <w:szCs w:val="18"/>
          <w:lang w:eastAsia="zh-CN"/>
        </w:rPr>
        <w:t xml:space="preserve">For antenna switching T=R case, in Rel-15, up to two SRS resource sets are supported, including 2 periodic, or two aperiodic, or 1 periodic+1 aperiodic, etc. In Rel-17, when UE has the capability of “Maximum 2 SP and 1 periodic SRS sets for antenna switching”, the legacy configurations should be maintained, i.e., the configurations of 2 periodic, or 2 aperiodic, or 1 periodic+1 aperiodic should be supported. However, the mentioned legacy SRS configurations are missing for Rel-17 UE in the current wording of spec.  </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b/>
          <w:bCs/>
          <w:sz w:val="18"/>
          <w:szCs w:val="18"/>
          <w:u w:val="single"/>
          <w:lang w:val="en-GB" w:eastAsia="zh-CN"/>
        </w:rPr>
      </w:pPr>
      <w:r>
        <w:rPr>
          <w:rFonts w:hint="eastAsia"/>
          <w:b/>
          <w:bCs/>
          <w:sz w:val="18"/>
          <w:szCs w:val="18"/>
          <w:u w:val="single"/>
          <w:lang w:val="en-US" w:eastAsia="zh-CN"/>
        </w:rPr>
        <w:t>Summary of change</w:t>
      </w:r>
      <w:r>
        <w:rPr>
          <w:b/>
          <w:bCs/>
          <w:sz w:val="18"/>
          <w:szCs w:val="18"/>
          <w:u w:val="single"/>
          <w:lang w:val="en-GB" w:eastAsia="zh-CN"/>
        </w:rPr>
        <w:t>:</w:t>
      </w:r>
    </w:p>
    <w:p>
      <w:pPr>
        <w:widowControl w:val="0"/>
        <w:adjustRightInd/>
        <w:spacing w:before="108" w:beforeLines="30" w:after="108" w:afterLines="30" w:line="288" w:lineRule="auto"/>
        <w:rPr>
          <w:sz w:val="18"/>
          <w:szCs w:val="18"/>
          <w:lang w:eastAsia="zh-CN"/>
        </w:rPr>
      </w:pPr>
      <w:r>
        <w:rPr>
          <w:rFonts w:eastAsia="微软雅黑"/>
          <w:sz w:val="18"/>
          <w:szCs w:val="18"/>
        </w:rPr>
        <w:t xml:space="preserve">Clarify </w:t>
      </w:r>
      <w:r>
        <w:rPr>
          <w:rFonts w:hint="eastAsia" w:eastAsia="微软雅黑"/>
          <w:sz w:val="18"/>
          <w:szCs w:val="18"/>
          <w:lang w:val="en-US" w:eastAsia="zh-CN"/>
        </w:rPr>
        <w:t xml:space="preserve">in TS38.214 </w:t>
      </w:r>
      <w:r>
        <w:rPr>
          <w:rFonts w:eastAsia="微软雅黑"/>
          <w:sz w:val="18"/>
          <w:szCs w:val="18"/>
        </w:rPr>
        <w:t xml:space="preserve">that </w:t>
      </w:r>
      <w:r>
        <w:rPr>
          <w:sz w:val="18"/>
          <w:szCs w:val="18"/>
          <w:lang w:eastAsia="zh-CN"/>
        </w:rPr>
        <w:t>the configurations of 2 periodic, or 2 aperiodic, or 1 periodic+1 aperiodic should be supported</w:t>
      </w:r>
      <w:r>
        <w:rPr>
          <w:rFonts w:hint="eastAsia"/>
          <w:sz w:val="18"/>
          <w:szCs w:val="18"/>
          <w:lang w:val="en-US" w:eastAsia="zh-CN"/>
        </w:rPr>
        <w:t xml:space="preserve"> when the </w:t>
      </w:r>
      <w:r>
        <w:rPr>
          <w:sz w:val="18"/>
          <w:szCs w:val="18"/>
          <w:lang w:eastAsia="zh-CN"/>
        </w:rPr>
        <w:t>UE has the capability of “Maximum 2 SP and 1 periodic SRS sets for antenna switching”</w:t>
      </w:r>
      <w:r>
        <w:rPr>
          <w:rFonts w:eastAsia="微软雅黑"/>
          <w:sz w:val="18"/>
          <w:szCs w:val="18"/>
        </w:rPr>
        <w:t>.</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eastAsia"/>
          <w:b/>
          <w:bCs/>
          <w:sz w:val="18"/>
          <w:szCs w:val="18"/>
          <w:u w:val="single"/>
          <w:lang w:val="en-GB" w:eastAsia="zh-CN"/>
        </w:rPr>
      </w:pPr>
      <w:r>
        <w:rPr>
          <w:rFonts w:hint="eastAsia"/>
          <w:b/>
          <w:bCs/>
          <w:sz w:val="18"/>
          <w:szCs w:val="18"/>
          <w:u w:val="single"/>
          <w:lang w:val="en-GB" w:eastAsia="zh-CN"/>
        </w:rPr>
        <w:t xml:space="preserve">Consequence </w:t>
      </w:r>
      <w:r>
        <w:rPr>
          <w:rFonts w:hint="eastAsia"/>
          <w:b/>
          <w:bCs/>
          <w:sz w:val="18"/>
          <w:szCs w:val="18"/>
          <w:u w:val="single"/>
          <w:lang w:val="en-US" w:eastAsia="zh-CN"/>
        </w:rPr>
        <w:t>if not approved</w:t>
      </w:r>
      <w:r>
        <w:rPr>
          <w:rFonts w:hint="eastAsia"/>
          <w:b/>
          <w:bCs/>
          <w:sz w:val="18"/>
          <w:szCs w:val="18"/>
          <w:u w:val="single"/>
          <w:lang w:val="en-GB" w:eastAsia="zh-CN"/>
        </w:rPr>
        <w:t>:</w:t>
      </w:r>
    </w:p>
    <w:p>
      <w:pPr>
        <w:rPr>
          <w:sz w:val="18"/>
          <w:szCs w:val="18"/>
          <w:lang w:eastAsia="zh-CN"/>
        </w:rPr>
      </w:pPr>
      <w:r>
        <w:rPr>
          <w:sz w:val="18"/>
          <w:szCs w:val="18"/>
          <w:lang w:val="en-GB" w:eastAsia="zh-CN"/>
        </w:rPr>
        <w:t xml:space="preserve">For T=R, </w:t>
      </w:r>
      <w:r>
        <w:rPr>
          <w:sz w:val="18"/>
          <w:szCs w:val="18"/>
          <w:lang w:eastAsia="zh-CN"/>
        </w:rPr>
        <w:t xml:space="preserve">the legacy configurations of 2 periodic, or 2 aperiodic, or 1 periodic+1 aperiodic are missing for Rel-17 UE with the capability of “Maximum 2 SP and 1 periodic SRS sets for antenna switching”. </w:t>
      </w:r>
    </w:p>
    <w:p>
      <w:pPr>
        <w:rPr>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1-2.B</w:t>
      </w:r>
      <w:r>
        <w:rPr>
          <w:b/>
          <w:bCs/>
          <w:sz w:val="18"/>
          <w:szCs w:val="18"/>
          <w:lang w:eastAsia="zh-CN"/>
        </w:rPr>
        <w:t>: SRS configuration for T=R antenna switching</w:t>
      </w:r>
    </w:p>
    <w:tbl>
      <w:tblPr>
        <w:tblStyle w:val="18"/>
        <w:tblW w:w="10033" w:type="dxa"/>
        <w:tblInd w:w="0" w:type="dxa"/>
        <w:tblLayout w:type="fixed"/>
        <w:tblCellMar>
          <w:top w:w="0" w:type="dxa"/>
          <w:left w:w="10" w:type="dxa"/>
          <w:bottom w:w="0" w:type="dxa"/>
          <w:right w:w="10" w:type="dxa"/>
        </w:tblCellMar>
      </w:tblPr>
      <w:tblGrid>
        <w:gridCol w:w="10033"/>
      </w:tblGrid>
      <w:tr>
        <w:tblPrEx>
          <w:tblCellMar>
            <w:top w:w="0" w:type="dxa"/>
            <w:left w:w="10" w:type="dxa"/>
            <w:bottom w:w="0" w:type="dxa"/>
            <w:right w:w="10" w:type="dxa"/>
          </w:tblCellMar>
        </w:tblPrEx>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rFonts w:hint="eastAsia"/>
                <w:b/>
                <w:sz w:val="18"/>
                <w:szCs w:val="18"/>
                <w:lang w:eastAsia="zh-CN"/>
              </w:rPr>
              <w:t>.</w:t>
            </w:r>
            <w:r>
              <w:rPr>
                <w:b/>
                <w:sz w:val="18"/>
                <w:szCs w:val="18"/>
                <w:lang w:eastAsia="zh-CN"/>
              </w:rPr>
              <w:t>2</w:t>
            </w:r>
            <w:r>
              <w:rPr>
                <w:b/>
                <w:sz w:val="18"/>
                <w:szCs w:val="18"/>
                <w:lang w:eastAsia="zh-CN"/>
              </w:rPr>
              <w:tab/>
            </w:r>
            <w:r>
              <w:rPr>
                <w:b/>
                <w:sz w:val="18"/>
                <w:szCs w:val="18"/>
                <w:lang w:eastAsia="zh-CN"/>
              </w:rPr>
              <w:t xml:space="preserve">UE </w:t>
            </w:r>
            <w:r>
              <w:rPr>
                <w:b/>
                <w:sz w:val="18"/>
                <w:szCs w:val="18"/>
                <w:lang w:val="en-GB" w:eastAsia="zh-CN"/>
              </w:rPr>
              <w:t>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rPr>
                <w:iCs/>
                <w:color w:val="000000"/>
                <w:sz w:val="18"/>
                <w:szCs w:val="18"/>
                <w:lang w:val="en-US" w:eastAsia="ja-JP"/>
              </w:rPr>
            </w:pPr>
            <w:r>
              <w:rPr>
                <w:iCs/>
                <w:sz w:val="18"/>
                <w:szCs w:val="18"/>
                <w:lang w:val="en-US" w:eastAsia="ja-JP"/>
              </w:rPr>
              <w:t xml:space="preserve">For 1T=1R, or 2T=2R, or 4T=4R, </w:t>
            </w:r>
            <w:r>
              <w:rPr>
                <w:iCs/>
                <w:color w:val="000000"/>
                <w:sz w:val="18"/>
                <w:szCs w:val="18"/>
                <w:lang w:val="en-US" w:eastAsia="ja-JP"/>
              </w:rPr>
              <w:t xml:space="preserve">up to two SRS resource sets each with one SRS resource </w:t>
            </w:r>
            <w:r>
              <w:rPr>
                <w:iCs/>
                <w:color w:val="FF0000"/>
                <w:sz w:val="18"/>
                <w:szCs w:val="18"/>
                <w:lang w:val="en-US" w:eastAsia="ja-JP"/>
              </w:rPr>
              <w:t>can be configured</w:t>
            </w:r>
            <w:r>
              <w:rPr>
                <w:iCs/>
                <w:color w:val="000000"/>
                <w:sz w:val="18"/>
                <w:szCs w:val="18"/>
                <w:lang w:val="en-US" w:eastAsia="ja-JP"/>
              </w:rPr>
              <w:t>, where the number of SRS ports for each resource is equal to 1, 2, or 4</w:t>
            </w:r>
            <w:r>
              <w:rPr>
                <w:iCs/>
                <w:color w:val="FF0000"/>
                <w:sz w:val="18"/>
                <w:szCs w:val="18"/>
                <w:lang w:val="en-US" w:eastAsia="ja-JP"/>
              </w:rPr>
              <w:t>,</w:t>
            </w:r>
            <w:r>
              <w:rPr>
                <w:iCs/>
                <w:color w:val="000000"/>
                <w:sz w:val="18"/>
                <w:szCs w:val="18"/>
                <w:lang w:val="en-US" w:eastAsia="ja-JP"/>
              </w:rPr>
              <w:t xml:space="preserve"> </w:t>
            </w:r>
            <w:r>
              <w:rPr>
                <w:color w:val="000000"/>
                <w:sz w:val="18"/>
                <w:szCs w:val="18"/>
                <w:lang w:val="en-US"/>
              </w:rPr>
              <w:t>if the UE is not indicating a capability for [maximum 2 semi-persistent and maximum 1 periodic SRS resource sets]</w:t>
            </w:r>
            <w:r>
              <w:rPr>
                <w:rFonts w:hint="eastAsia" w:eastAsia="宋体"/>
                <w:color w:val="FF0000"/>
                <w:sz w:val="18"/>
                <w:szCs w:val="18"/>
                <w:lang w:val="en-US" w:eastAsia="zh-CN"/>
              </w:rPr>
              <w:t>.</w:t>
            </w:r>
            <w:r>
              <w:rPr>
                <w:strike/>
                <w:color w:val="FF0000"/>
                <w:sz w:val="18"/>
                <w:szCs w:val="18"/>
                <w:lang w:val="en-US"/>
              </w:rPr>
              <w:t>, or up to t</w:t>
            </w:r>
            <w:r>
              <w:rPr>
                <w:color w:val="FF0000"/>
                <w:sz w:val="18"/>
                <w:szCs w:val="18"/>
                <w:lang w:val="en-US"/>
              </w:rPr>
              <w:t>T</w:t>
            </w:r>
            <w:r>
              <w:rPr>
                <w:color w:val="000000"/>
                <w:sz w:val="18"/>
                <w:szCs w:val="18"/>
                <w:lang w:val="en-US"/>
              </w:rPr>
              <w:t xml:space="preserve">wo SRS resource sets configured with </w:t>
            </w:r>
            <w:r>
              <w:rPr>
                <w:i/>
                <w:color w:val="000000"/>
                <w:sz w:val="18"/>
                <w:szCs w:val="18"/>
                <w:lang w:val="en-US"/>
              </w:rPr>
              <w:t>resourceType</w:t>
            </w:r>
            <w:r>
              <w:rPr>
                <w:color w:val="000000"/>
                <w:sz w:val="18"/>
                <w:szCs w:val="18"/>
                <w:lang w:val="en-US"/>
              </w:rPr>
              <w:t xml:space="preserve"> in </w:t>
            </w:r>
            <w:r>
              <w:rPr>
                <w:i/>
                <w:color w:val="000000"/>
                <w:sz w:val="18"/>
                <w:szCs w:val="18"/>
                <w:lang w:val="en-US"/>
              </w:rPr>
              <w:t>SRS-ResourceSet</w:t>
            </w:r>
            <w:r>
              <w:rPr>
                <w:color w:val="000000"/>
                <w:sz w:val="18"/>
                <w:szCs w:val="18"/>
                <w:lang w:val="en-US"/>
              </w:rPr>
              <w:t xml:space="preserve"> set to '</w:t>
            </w:r>
            <w:r>
              <w:rPr>
                <w:i/>
                <w:color w:val="000000"/>
                <w:sz w:val="18"/>
                <w:szCs w:val="18"/>
                <w:lang w:val="en-US"/>
              </w:rPr>
              <w:t>semi-persistent</w:t>
            </w:r>
            <w:r>
              <w:rPr>
                <w:color w:val="000000"/>
                <w:sz w:val="18"/>
                <w:szCs w:val="18"/>
                <w:lang w:val="en-US"/>
              </w:rPr>
              <w:t xml:space="preserve">' and </w:t>
            </w:r>
            <w:r>
              <w:rPr>
                <w:strike/>
                <w:color w:val="FF0000"/>
                <w:sz w:val="18"/>
                <w:szCs w:val="18"/>
                <w:lang w:val="en-US"/>
              </w:rPr>
              <w:t xml:space="preserve">up to </w:t>
            </w:r>
            <w:r>
              <w:rPr>
                <w:color w:val="000000"/>
                <w:sz w:val="18"/>
                <w:szCs w:val="18"/>
                <w:lang w:val="en-US"/>
              </w:rPr>
              <w:t xml:space="preserve">one SRS resource set configured with </w:t>
            </w:r>
            <w:r>
              <w:rPr>
                <w:i/>
                <w:color w:val="000000"/>
                <w:sz w:val="18"/>
                <w:szCs w:val="18"/>
                <w:lang w:val="en-US"/>
              </w:rPr>
              <w:t>resourceType</w:t>
            </w:r>
            <w:r>
              <w:rPr>
                <w:color w:val="000000"/>
                <w:sz w:val="18"/>
                <w:szCs w:val="18"/>
                <w:lang w:val="en-US"/>
              </w:rPr>
              <w:t xml:space="preserve"> in </w:t>
            </w:r>
            <w:r>
              <w:rPr>
                <w:i/>
                <w:color w:val="000000"/>
                <w:sz w:val="18"/>
                <w:szCs w:val="18"/>
                <w:lang w:val="en-US"/>
              </w:rPr>
              <w:t>SRS-ResourceSet</w:t>
            </w:r>
            <w:r>
              <w:rPr>
                <w:color w:val="000000"/>
                <w:sz w:val="18"/>
                <w:szCs w:val="18"/>
                <w:lang w:val="en-US"/>
              </w:rPr>
              <w:t xml:space="preserve"> set to '</w:t>
            </w:r>
            <w:r>
              <w:rPr>
                <w:i/>
                <w:color w:val="000000"/>
                <w:sz w:val="18"/>
                <w:szCs w:val="18"/>
                <w:lang w:val="en-US"/>
              </w:rPr>
              <w:t>periodic</w:t>
            </w:r>
            <w:r>
              <w:rPr>
                <w:color w:val="000000"/>
                <w:sz w:val="18"/>
                <w:szCs w:val="18"/>
                <w:lang w:val="en-US"/>
              </w:rPr>
              <w:t>'</w:t>
            </w:r>
            <w:r>
              <w:rPr>
                <w:color w:val="FF0000"/>
                <w:sz w:val="18"/>
                <w:szCs w:val="18"/>
                <w:lang w:val="en-US"/>
              </w:rPr>
              <w:t xml:space="preserve"> can be configured and the two SRS resource sets configured with '</w:t>
            </w:r>
            <w:r>
              <w:rPr>
                <w:i/>
                <w:color w:val="FF0000"/>
                <w:sz w:val="18"/>
                <w:szCs w:val="18"/>
                <w:lang w:val="en-US"/>
              </w:rPr>
              <w:t>semi-persistent</w:t>
            </w:r>
            <w:r>
              <w:rPr>
                <w:color w:val="FF0000"/>
                <w:sz w:val="18"/>
                <w:szCs w:val="18"/>
                <w:lang w:val="en-US"/>
              </w:rPr>
              <w:t>' are not activated at the same time, or up to two SRS resource sets can be configured,</w:t>
            </w:r>
            <w:r>
              <w:rPr>
                <w:color w:val="000000"/>
                <w:sz w:val="18"/>
                <w:szCs w:val="18"/>
                <w:lang w:val="en-US"/>
              </w:rPr>
              <w:t xml:space="preserve"> if the UE is indicating a capability for [maximum 2 semi-persistent and maximum 1 periodic SRS resource sets],</w:t>
            </w:r>
            <w:r>
              <w:rPr>
                <w:color w:val="FF0000"/>
                <w:sz w:val="18"/>
                <w:szCs w:val="18"/>
                <w:lang w:val="en-US"/>
              </w:rPr>
              <w:t xml:space="preserve"> where each SRS resource set has one SRS resource, the number of SRS ports for each resource is equal to 1, 2, or 4</w:t>
            </w:r>
            <w:r>
              <w:rPr>
                <w:strike/>
                <w:color w:val="FF0000"/>
                <w:sz w:val="18"/>
                <w:szCs w:val="18"/>
                <w:lang w:val="en-US"/>
              </w:rPr>
              <w:t xml:space="preserve"> where the two SRS resource sets configured with 'semi-persistent' are not activated at the same time</w:t>
            </w:r>
            <w:r>
              <w:rPr>
                <w:iCs/>
                <w:color w:val="000000"/>
                <w:sz w:val="18"/>
                <w:szCs w:val="18"/>
                <w:lang w:val="en-US" w:eastAsia="ja-JP"/>
              </w:rPr>
              <w:t>, or</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color w:val="3333FF"/>
                <w:sz w:val="18"/>
                <w:szCs w:val="18"/>
                <w:lang w:val="en-GB" w:eastAsia="zh-CN"/>
              </w:rPr>
            </w:pPr>
            <w:r>
              <w:rPr>
                <w:rFonts w:eastAsiaTheme="minorEastAsia"/>
                <w:color w:val="FF0000"/>
                <w:sz w:val="18"/>
                <w:szCs w:val="18"/>
                <w:lang w:val="en-US" w:eastAsia="zh-CN"/>
              </w:rPr>
              <w:t>&lt;End of TP for TS38.214&gt;</w:t>
            </w:r>
          </w:p>
        </w:tc>
      </w:tr>
    </w:tbl>
    <w:p>
      <w:pPr>
        <w:bidi w:val="0"/>
      </w:pPr>
    </w:p>
    <w:p>
      <w:pPr>
        <w:bidi w:val="0"/>
      </w:pPr>
    </w:p>
    <w:p>
      <w:pPr>
        <w:pStyle w:val="4"/>
        <w:bidi w:val="0"/>
        <w:rPr>
          <w:rFonts w:hint="default"/>
          <w:lang w:val="en-US" w:eastAsia="zh-CN"/>
        </w:rPr>
      </w:pPr>
      <w:r>
        <w:rPr>
          <w:b/>
          <w:bCs/>
          <w:lang w:eastAsia="zh-CN"/>
        </w:rPr>
        <w:t>TP#</w:t>
      </w:r>
      <w:r>
        <w:rPr>
          <w:rFonts w:hint="eastAsia"/>
          <w:b/>
          <w:bCs/>
          <w:lang w:val="en-US" w:eastAsia="zh-CN"/>
        </w:rPr>
        <w:t>2-5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eastAsia"/>
          <w:b/>
          <w:bCs/>
          <w:sz w:val="18"/>
          <w:szCs w:val="18"/>
          <w:u w:val="single"/>
          <w:lang w:val="en-GB" w:eastAsia="zh-CN"/>
        </w:rPr>
      </w:pPr>
      <w:r>
        <w:rPr>
          <w:rFonts w:hint="eastAsia"/>
          <w:b/>
          <w:bCs/>
          <w:sz w:val="18"/>
          <w:szCs w:val="18"/>
          <w:u w:val="single"/>
          <w:lang w:val="en-GB" w:eastAsia="zh-CN"/>
        </w:rPr>
        <w:t>Reason of change:</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eastAsiaTheme="minorEastAsia"/>
          <w:color w:val="000000" w:themeColor="text1"/>
          <w:sz w:val="18"/>
          <w:szCs w:val="18"/>
          <w:lang w:eastAsia="zh-CN"/>
          <w14:textFill>
            <w14:solidFill>
              <w14:schemeClr w14:val="tx1"/>
            </w14:solidFill>
          </w14:textFill>
        </w:rPr>
      </w:pPr>
      <w:r>
        <w:rPr>
          <w:rFonts w:hint="eastAsia" w:eastAsiaTheme="minorEastAsia"/>
          <w:sz w:val="18"/>
          <w:szCs w:val="18"/>
          <w:lang w:val="en-US" w:eastAsia="zh-CN"/>
        </w:rPr>
        <w:t xml:space="preserve">The capability for antenna switching with xTyR is denoted as </w:t>
      </w:r>
      <w:r>
        <w:rPr>
          <w:rFonts w:eastAsiaTheme="minorEastAsia"/>
          <w:sz w:val="18"/>
          <w:szCs w:val="18"/>
          <w:lang w:val="en-US" w:eastAsia="zh-CN"/>
        </w:rPr>
        <w:t>“</w:t>
      </w:r>
      <w:r>
        <w:rPr>
          <w:color w:val="000000"/>
          <w:sz w:val="18"/>
          <w:szCs w:val="18"/>
          <w:lang w:val="en-US" w:eastAsia="zh-CN"/>
        </w:rPr>
        <w:t>t</w:t>
      </w:r>
      <w:r>
        <w:rPr>
          <w:rFonts w:hint="eastAsia" w:eastAsiaTheme="minorEastAsia"/>
          <w:color w:val="000000"/>
          <w:sz w:val="18"/>
          <w:szCs w:val="18"/>
          <w:lang w:val="en-US" w:eastAsia="zh-CN"/>
        </w:rPr>
        <w:t>x</w:t>
      </w:r>
      <w:r>
        <w:rPr>
          <w:color w:val="000000"/>
          <w:sz w:val="18"/>
          <w:szCs w:val="18"/>
          <w:lang w:val="en-US" w:eastAsia="zh-CN"/>
        </w:rPr>
        <w:t>r</w:t>
      </w:r>
      <w:r>
        <w:rPr>
          <w:rFonts w:hint="eastAsia" w:eastAsiaTheme="minorEastAsia"/>
          <w:color w:val="000000"/>
          <w:sz w:val="18"/>
          <w:szCs w:val="18"/>
          <w:lang w:val="en-US" w:eastAsia="zh-CN"/>
        </w:rPr>
        <w:t>y</w:t>
      </w:r>
      <w:r>
        <w:rPr>
          <w:rFonts w:eastAsiaTheme="minorEastAsia"/>
          <w:sz w:val="18"/>
          <w:szCs w:val="18"/>
          <w:lang w:val="en-US" w:eastAsia="zh-CN"/>
        </w:rPr>
        <w:t>”</w:t>
      </w:r>
      <w:r>
        <w:rPr>
          <w:rFonts w:hint="eastAsia" w:eastAsiaTheme="minorEastAsia"/>
          <w:sz w:val="18"/>
          <w:szCs w:val="18"/>
          <w:lang w:val="en-US" w:eastAsia="zh-CN"/>
        </w:rPr>
        <w:t xml:space="preserve"> in Rel-16. In Rel-17, </w:t>
      </w:r>
      <w:r>
        <w:rPr>
          <w:sz w:val="18"/>
          <w:szCs w:val="18"/>
          <w:lang w:eastAsia="zh-CN"/>
        </w:rPr>
        <w:t>'1t8r' for 1T8R, '2t6r' for 2T6R, '2t8r' for 2T8R, '4t8r' for 4T8R</w:t>
      </w:r>
      <w:r>
        <w:rPr>
          <w:rFonts w:hint="eastAsia" w:eastAsiaTheme="minorEastAsia"/>
          <w:sz w:val="18"/>
          <w:szCs w:val="18"/>
          <w:lang w:eastAsia="zh-CN"/>
        </w:rPr>
        <w:t xml:space="preserve"> are used in the spec, which is not aligned with that for xTyR in Rel-16.</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eastAsia"/>
          <w:b/>
          <w:bCs/>
          <w:sz w:val="18"/>
          <w:szCs w:val="18"/>
          <w:u w:val="single"/>
          <w:lang w:val="en-GB" w:eastAsia="zh-CN"/>
        </w:rPr>
      </w:pPr>
      <w:r>
        <w:rPr>
          <w:rFonts w:hint="eastAsia"/>
          <w:b/>
          <w:bCs/>
          <w:sz w:val="18"/>
          <w:szCs w:val="18"/>
          <w:u w:val="single"/>
          <w:lang w:val="en-US" w:eastAsia="zh-CN"/>
        </w:rPr>
        <w:t>Summary of change</w:t>
      </w:r>
      <w:r>
        <w:rPr>
          <w:rFonts w:hint="eastAsia"/>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cs="Times" w:eastAsiaTheme="minorEastAsia"/>
          <w:sz w:val="18"/>
          <w:szCs w:val="18"/>
          <w:lang w:eastAsia="zh-CN"/>
        </w:rPr>
      </w:pPr>
      <w:r>
        <w:rPr>
          <w:rFonts w:hint="eastAsia" w:eastAsiaTheme="minorEastAsia"/>
          <w:color w:val="000000" w:themeColor="text1"/>
          <w:sz w:val="18"/>
          <w:szCs w:val="18"/>
          <w:lang w:val="en-US" w:eastAsia="zh-CN"/>
          <w14:textFill>
            <w14:solidFill>
              <w14:schemeClr w14:val="tx1"/>
            </w14:solidFill>
          </w14:textFill>
        </w:rPr>
        <w:t xml:space="preserve">Change </w:t>
      </w:r>
      <w:r>
        <w:rPr>
          <w:rFonts w:cs="Times" w:eastAsiaTheme="minorEastAsia"/>
          <w:sz w:val="18"/>
          <w:szCs w:val="18"/>
          <w:lang w:eastAsia="zh-CN"/>
        </w:rPr>
        <w:t>“</w:t>
      </w:r>
      <w:r>
        <w:rPr>
          <w:sz w:val="18"/>
          <w:szCs w:val="18"/>
          <w:lang w:eastAsia="zh-CN"/>
        </w:rPr>
        <w:t xml:space="preserve"> '1t8r' for 1T8R, '2t6r' for 2T6R, '2t8r' for 2T8R, '4t8r' for 4T8R</w:t>
      </w:r>
      <w:r>
        <w:rPr>
          <w:rFonts w:cs="Times" w:eastAsiaTheme="minorEastAsia"/>
          <w:sz w:val="18"/>
          <w:szCs w:val="18"/>
          <w:lang w:eastAsia="zh-CN"/>
        </w:rPr>
        <w:t>”</w:t>
      </w:r>
      <w:r>
        <w:rPr>
          <w:rFonts w:hint="eastAsia" w:eastAsiaTheme="minorEastAsia"/>
          <w:color w:val="000000" w:themeColor="text1"/>
          <w:sz w:val="18"/>
          <w:szCs w:val="18"/>
          <w:lang w:eastAsia="zh-CN"/>
          <w14:textFill>
            <w14:solidFill>
              <w14:schemeClr w14:val="tx1"/>
            </w14:solidFill>
          </w14:textFill>
        </w:rPr>
        <w:t xml:space="preserve"> to </w:t>
      </w:r>
      <w:r>
        <w:rPr>
          <w:rFonts w:eastAsiaTheme="minorEastAsia"/>
          <w:color w:val="000000" w:themeColor="text1"/>
          <w:sz w:val="18"/>
          <w:szCs w:val="18"/>
          <w:lang w:eastAsia="zh-CN"/>
          <w14:textFill>
            <w14:solidFill>
              <w14:schemeClr w14:val="tx1"/>
            </w14:solidFill>
          </w14:textFill>
        </w:rPr>
        <w:t>“</w:t>
      </w:r>
      <w:r>
        <w:rPr>
          <w:sz w:val="18"/>
          <w:szCs w:val="18"/>
          <w:lang w:eastAsia="zh-CN"/>
        </w:rPr>
        <w:t xml:space="preserve"> '</w:t>
      </w:r>
      <w:r>
        <w:rPr>
          <w:rFonts w:hint="eastAsia"/>
          <w:sz w:val="18"/>
          <w:szCs w:val="18"/>
        </w:rPr>
        <w:t>t1r8</w:t>
      </w:r>
      <w:r>
        <w:rPr>
          <w:sz w:val="18"/>
          <w:szCs w:val="18"/>
          <w:lang w:eastAsia="zh-CN"/>
        </w:rPr>
        <w:t>' for 1T8R, '</w:t>
      </w:r>
      <w:r>
        <w:rPr>
          <w:rFonts w:hint="eastAsia"/>
          <w:sz w:val="18"/>
          <w:szCs w:val="18"/>
        </w:rPr>
        <w:t>t2r6</w:t>
      </w:r>
      <w:r>
        <w:rPr>
          <w:sz w:val="18"/>
          <w:szCs w:val="18"/>
          <w:lang w:eastAsia="zh-CN"/>
        </w:rPr>
        <w:t>' for 2T6R, '</w:t>
      </w:r>
      <w:r>
        <w:rPr>
          <w:rFonts w:hint="eastAsia"/>
          <w:sz w:val="18"/>
          <w:szCs w:val="18"/>
        </w:rPr>
        <w:t>t2r8</w:t>
      </w:r>
      <w:r>
        <w:rPr>
          <w:sz w:val="18"/>
          <w:szCs w:val="18"/>
          <w:lang w:eastAsia="zh-CN"/>
        </w:rPr>
        <w:t>' for 2T8R, '</w:t>
      </w:r>
      <w:r>
        <w:rPr>
          <w:rFonts w:hint="eastAsia"/>
          <w:sz w:val="18"/>
          <w:szCs w:val="18"/>
        </w:rPr>
        <w:t>t4r8</w:t>
      </w:r>
      <w:r>
        <w:rPr>
          <w:sz w:val="18"/>
          <w:szCs w:val="18"/>
          <w:lang w:eastAsia="zh-CN"/>
        </w:rPr>
        <w:t>' for 4T8R</w:t>
      </w:r>
      <w:r>
        <w:rPr>
          <w:rFonts w:eastAsiaTheme="minorEastAsia"/>
          <w:color w:val="000000" w:themeColor="text1"/>
          <w:sz w:val="18"/>
          <w:szCs w:val="18"/>
          <w:lang w:eastAsia="zh-CN"/>
          <w14:textFill>
            <w14:solidFill>
              <w14:schemeClr w14:val="tx1"/>
            </w14:solidFill>
          </w14:textFill>
        </w:rPr>
        <w:t>”</w:t>
      </w:r>
      <w:r>
        <w:rPr>
          <w:rFonts w:hint="eastAsia" w:eastAsiaTheme="minorEastAsia"/>
          <w:color w:val="000000" w:themeColor="text1"/>
          <w:sz w:val="18"/>
          <w:szCs w:val="18"/>
          <w:lang w:eastAsia="zh-CN"/>
          <w14:textFill>
            <w14:solidFill>
              <w14:schemeClr w14:val="tx1"/>
            </w14:solidFill>
          </w14:textFill>
        </w:rPr>
        <w:t xml:space="preserve">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eastAsia"/>
          <w:b/>
          <w:bCs/>
          <w:sz w:val="18"/>
          <w:szCs w:val="18"/>
          <w:u w:val="single"/>
          <w:lang w:val="en-GB" w:eastAsia="zh-CN"/>
        </w:rPr>
      </w:pPr>
      <w:r>
        <w:rPr>
          <w:rFonts w:hint="eastAsia"/>
          <w:b/>
          <w:bCs/>
          <w:sz w:val="18"/>
          <w:szCs w:val="18"/>
          <w:u w:val="single"/>
          <w:lang w:val="en-GB" w:eastAsia="zh-CN"/>
        </w:rPr>
        <w:t xml:space="preserve">Consequence </w:t>
      </w:r>
      <w:r>
        <w:rPr>
          <w:rFonts w:hint="eastAsia"/>
          <w:b/>
          <w:bCs/>
          <w:sz w:val="18"/>
          <w:szCs w:val="18"/>
          <w:u w:val="single"/>
          <w:lang w:val="en-US" w:eastAsia="zh-CN"/>
        </w:rPr>
        <w:t>if not approved</w:t>
      </w:r>
      <w:r>
        <w:rPr>
          <w:rFonts w:hint="eastAsia"/>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eastAsiaTheme="minorEastAsia"/>
          <w:sz w:val="18"/>
          <w:szCs w:val="18"/>
          <w:lang w:val="en-US" w:eastAsia="zh-CN"/>
        </w:rPr>
      </w:pPr>
      <w:r>
        <w:rPr>
          <w:rFonts w:hint="eastAsia" w:eastAsiaTheme="minorEastAsia"/>
          <w:sz w:val="18"/>
          <w:szCs w:val="18"/>
          <w:lang w:val="en-US" w:eastAsia="zh-CN"/>
        </w:rPr>
        <w:t>The parameter of UE</w:t>
      </w:r>
      <w:r>
        <w:rPr>
          <w:rFonts w:eastAsiaTheme="minorEastAsia"/>
          <w:sz w:val="18"/>
          <w:szCs w:val="18"/>
          <w:lang w:val="en-US" w:eastAsia="zh-CN"/>
        </w:rPr>
        <w:t>’</w:t>
      </w:r>
      <w:r>
        <w:rPr>
          <w:rFonts w:hint="eastAsia" w:eastAsiaTheme="minorEastAsia"/>
          <w:sz w:val="18"/>
          <w:szCs w:val="18"/>
          <w:lang w:val="en-US" w:eastAsia="zh-CN"/>
        </w:rPr>
        <w:t xml:space="preserve">s capability in TS38.214 for </w:t>
      </w:r>
      <w:r>
        <w:rPr>
          <w:sz w:val="18"/>
          <w:szCs w:val="18"/>
          <w:lang w:eastAsia="zh-CN"/>
        </w:rPr>
        <w:t xml:space="preserve">1T8R, 2T6R, 2T8R, </w:t>
      </w:r>
      <w:r>
        <w:rPr>
          <w:rFonts w:hint="eastAsia" w:eastAsiaTheme="minorEastAsia"/>
          <w:sz w:val="18"/>
          <w:szCs w:val="18"/>
          <w:lang w:eastAsia="zh-CN"/>
        </w:rPr>
        <w:t xml:space="preserve">and </w:t>
      </w:r>
      <w:r>
        <w:rPr>
          <w:sz w:val="18"/>
          <w:szCs w:val="18"/>
          <w:lang w:eastAsia="zh-CN"/>
        </w:rPr>
        <w:t>4T8R</w:t>
      </w:r>
      <w:r>
        <w:rPr>
          <w:rFonts w:hint="eastAsia" w:eastAsiaTheme="minorEastAsia"/>
          <w:sz w:val="18"/>
          <w:szCs w:val="18"/>
          <w:lang w:eastAsia="zh-CN"/>
        </w:rPr>
        <w:t xml:space="preserve"> would not be aligned with the specs for UE</w:t>
      </w:r>
      <w:r>
        <w:rPr>
          <w:rFonts w:eastAsiaTheme="minorEastAsia"/>
          <w:sz w:val="18"/>
          <w:szCs w:val="18"/>
          <w:lang w:eastAsia="zh-CN"/>
        </w:rPr>
        <w:t>’</w:t>
      </w:r>
      <w:r>
        <w:rPr>
          <w:rFonts w:hint="eastAsia" w:eastAsiaTheme="minorEastAsia"/>
          <w:sz w:val="18"/>
          <w:szCs w:val="18"/>
          <w:lang w:eastAsia="zh-CN"/>
        </w:rPr>
        <w:t>s capability.</w:t>
      </w:r>
    </w:p>
    <w:p>
      <w:pPr>
        <w:rPr>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2-5</w:t>
      </w:r>
      <w:r>
        <w:rPr>
          <w:b/>
          <w:bCs/>
          <w:sz w:val="18"/>
          <w:szCs w:val="18"/>
          <w:lang w:eastAsia="zh-CN"/>
        </w:rPr>
        <w:t xml:space="preserve">: SRS </w:t>
      </w:r>
      <w:r>
        <w:rPr>
          <w:rFonts w:hint="eastAsia"/>
          <w:b/>
          <w:bCs/>
          <w:sz w:val="18"/>
          <w:szCs w:val="18"/>
          <w:lang w:eastAsia="zh-CN"/>
        </w:rPr>
        <w:t>for</w:t>
      </w:r>
      <w:r>
        <w:rPr>
          <w:b/>
          <w:bCs/>
          <w:sz w:val="18"/>
          <w:szCs w:val="18"/>
          <w:lang w:eastAsia="zh-CN"/>
        </w:rPr>
        <w:t xml:space="preserve"> antenna switching</w:t>
      </w:r>
    </w:p>
    <w:tbl>
      <w:tblPr>
        <w:tblStyle w:val="18"/>
        <w:tblW w:w="10033" w:type="dxa"/>
        <w:tblInd w:w="0" w:type="dxa"/>
        <w:tblLayout w:type="fixed"/>
        <w:tblCellMar>
          <w:top w:w="0" w:type="dxa"/>
          <w:left w:w="10" w:type="dxa"/>
          <w:bottom w:w="0" w:type="dxa"/>
          <w:right w:w="10" w:type="dxa"/>
        </w:tblCellMar>
      </w:tblPr>
      <w:tblGrid>
        <w:gridCol w:w="10033"/>
      </w:tblGrid>
      <w:tr>
        <w:tblPrEx>
          <w:tblCellMar>
            <w:top w:w="0" w:type="dxa"/>
            <w:left w:w="10" w:type="dxa"/>
            <w:bottom w:w="0" w:type="dxa"/>
            <w:right w:w="10" w:type="dxa"/>
          </w:tblCellMar>
        </w:tblPrEx>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18"/>
                <w:szCs w:val="18"/>
                <w:lang w:val="en-US" w:eastAsia="zh-CN"/>
              </w:rPr>
            </w:pPr>
            <w:r>
              <w:rPr>
                <w:rFonts w:eastAsiaTheme="minorEastAsia"/>
                <w:color w:val="FF0000"/>
                <w:sz w:val="18"/>
                <w:szCs w:val="18"/>
                <w:lang w:val="en-US" w:eastAsia="zh-CN"/>
              </w:rPr>
              <w:t>&lt;Start of TP for TS38.214&gt;</w:t>
            </w:r>
          </w:p>
          <w:p>
            <w:pPr>
              <w:pStyle w:val="75"/>
              <w:ind w:left="0" w:firstLine="0"/>
              <w:rPr>
                <w:b/>
                <w:sz w:val="18"/>
                <w:szCs w:val="18"/>
                <w:lang w:eastAsia="zh-CN"/>
              </w:rPr>
            </w:pPr>
            <w:r>
              <w:rPr>
                <w:b/>
                <w:sz w:val="18"/>
                <w:szCs w:val="18"/>
                <w:lang w:eastAsia="zh-CN"/>
              </w:rPr>
              <w:t>6.2.1</w:t>
            </w:r>
            <w:r>
              <w:rPr>
                <w:rFonts w:hint="eastAsia"/>
                <w:b/>
                <w:sz w:val="18"/>
                <w:szCs w:val="18"/>
                <w:lang w:eastAsia="zh-CN"/>
              </w:rPr>
              <w:t>.</w:t>
            </w:r>
            <w:r>
              <w:rPr>
                <w:b/>
                <w:sz w:val="18"/>
                <w:szCs w:val="18"/>
                <w:lang w:eastAsia="zh-CN"/>
              </w:rPr>
              <w:t>2</w:t>
            </w:r>
            <w:r>
              <w:rPr>
                <w:b/>
                <w:sz w:val="18"/>
                <w:szCs w:val="18"/>
                <w:lang w:eastAsia="zh-CN"/>
              </w:rPr>
              <w:tab/>
            </w:r>
            <w:r>
              <w:rPr>
                <w:b/>
                <w:sz w:val="18"/>
                <w:szCs w:val="18"/>
                <w:lang w:eastAsia="zh-CN"/>
              </w:rPr>
              <w:t xml:space="preserve">UE </w:t>
            </w:r>
            <w:r>
              <w:rPr>
                <w:b/>
                <w:sz w:val="18"/>
                <w:szCs w:val="18"/>
                <w:lang w:val="en-GB" w:eastAsia="zh-CN"/>
              </w:rPr>
              <w:t>sounding procedure for DL CSI acquisition</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rPr>
                <w:color w:val="000000"/>
                <w:sz w:val="18"/>
                <w:szCs w:val="22"/>
              </w:rPr>
            </w:pPr>
            <w:r>
              <w:rPr>
                <w:color w:val="000000"/>
                <w:sz w:val="18"/>
                <w:szCs w:val="22"/>
              </w:rPr>
              <w:t xml:space="preserve">When the UE is configured with the higher layer parameter </w:t>
            </w:r>
            <w:r>
              <w:rPr>
                <w:i/>
                <w:color w:val="000000"/>
                <w:sz w:val="18"/>
                <w:szCs w:val="22"/>
              </w:rPr>
              <w:t>usage</w:t>
            </w:r>
            <w:r>
              <w:rPr>
                <w:color w:val="000000"/>
                <w:sz w:val="18"/>
                <w:szCs w:val="22"/>
              </w:rPr>
              <w:t xml:space="preserve"> in </w:t>
            </w:r>
            <w:r>
              <w:rPr>
                <w:i/>
                <w:color w:val="000000"/>
                <w:sz w:val="18"/>
                <w:szCs w:val="22"/>
              </w:rPr>
              <w:t xml:space="preserve">SRS-ResourceSet </w:t>
            </w:r>
            <w:r>
              <w:rPr>
                <w:color w:val="000000"/>
                <w:sz w:val="18"/>
                <w:szCs w:val="22"/>
              </w:rPr>
              <w:t xml:space="preserve">set as 'antennaSwitching', the UE may be configured with only one of the following configurations depending on the indicated UE capability </w:t>
            </w:r>
            <w:r>
              <w:rPr>
                <w:i/>
                <w:color w:val="000000"/>
                <w:sz w:val="18"/>
                <w:szCs w:val="22"/>
              </w:rPr>
              <w:t>supportedSRS-TxPortSwitch</w:t>
            </w:r>
            <w:r>
              <w:rPr>
                <w:color w:val="000000"/>
                <w:sz w:val="18"/>
                <w:szCs w:val="22"/>
              </w:rPr>
              <w:t xml:space="preserve"> ('t1r2' for </w:t>
            </w:r>
            <w:r>
              <w:rPr>
                <w:sz w:val="18"/>
                <w:szCs w:val="22"/>
              </w:rPr>
              <w:t xml:space="preserve">1T2R, </w:t>
            </w:r>
            <w:r>
              <w:rPr>
                <w:iCs/>
                <w:sz w:val="18"/>
                <w:szCs w:val="22"/>
              </w:rPr>
              <w:t>'t1r1-t1r2' for 1T=1R/1T2R,</w:t>
            </w:r>
            <w:r>
              <w:rPr>
                <w:sz w:val="18"/>
                <w:szCs w:val="22"/>
              </w:rPr>
              <w:t xml:space="preserve"> 't2r4' for 2T4R, 't1r4' for 1T4R, 't1r6' for 1T6R, </w:t>
            </w:r>
            <w:r>
              <w:rPr>
                <w:strike/>
                <w:color w:val="FF0000"/>
                <w:sz w:val="18"/>
                <w:szCs w:val="22"/>
              </w:rPr>
              <w:t xml:space="preserve">'1t8r' </w:t>
            </w:r>
            <w:r>
              <w:rPr>
                <w:color w:val="FF0000"/>
                <w:sz w:val="18"/>
                <w:szCs w:val="22"/>
              </w:rPr>
              <w:t>'</w:t>
            </w:r>
            <w:r>
              <w:rPr>
                <w:rFonts w:hint="eastAsia"/>
                <w:color w:val="FF0000"/>
                <w:sz w:val="18"/>
                <w:szCs w:val="22"/>
              </w:rPr>
              <w:t>t1r8</w:t>
            </w:r>
            <w:r>
              <w:rPr>
                <w:color w:val="FF0000"/>
                <w:sz w:val="18"/>
                <w:szCs w:val="22"/>
              </w:rPr>
              <w:t>'</w:t>
            </w:r>
            <w:r>
              <w:rPr>
                <w:sz w:val="18"/>
                <w:szCs w:val="22"/>
              </w:rPr>
              <w:t xml:space="preserve"> for 1T8R,</w:t>
            </w:r>
            <w:r>
              <w:rPr>
                <w:color w:val="FF0000"/>
                <w:sz w:val="18"/>
                <w:szCs w:val="22"/>
              </w:rPr>
              <w:t xml:space="preserve"> </w:t>
            </w:r>
            <w:r>
              <w:rPr>
                <w:strike/>
                <w:color w:val="FF0000"/>
                <w:sz w:val="18"/>
                <w:szCs w:val="22"/>
              </w:rPr>
              <w:t xml:space="preserve">'2t6r' </w:t>
            </w:r>
            <w:r>
              <w:rPr>
                <w:color w:val="FF0000"/>
                <w:sz w:val="18"/>
                <w:szCs w:val="22"/>
              </w:rPr>
              <w:t>'</w:t>
            </w:r>
            <w:r>
              <w:rPr>
                <w:rFonts w:hint="eastAsia"/>
                <w:color w:val="FF0000"/>
                <w:sz w:val="18"/>
                <w:szCs w:val="22"/>
              </w:rPr>
              <w:t>t2r6</w:t>
            </w:r>
            <w:r>
              <w:rPr>
                <w:color w:val="FF0000"/>
                <w:sz w:val="18"/>
                <w:szCs w:val="22"/>
              </w:rPr>
              <w:t xml:space="preserve">' </w:t>
            </w:r>
            <w:r>
              <w:rPr>
                <w:sz w:val="18"/>
                <w:szCs w:val="22"/>
              </w:rPr>
              <w:t xml:space="preserve">for 2T6R, </w:t>
            </w:r>
            <w:r>
              <w:rPr>
                <w:strike/>
                <w:color w:val="FF0000"/>
                <w:sz w:val="18"/>
                <w:szCs w:val="22"/>
              </w:rPr>
              <w:t xml:space="preserve">'2t8r' </w:t>
            </w:r>
            <w:r>
              <w:rPr>
                <w:color w:val="FF0000"/>
                <w:sz w:val="18"/>
                <w:szCs w:val="22"/>
              </w:rPr>
              <w:t>'</w:t>
            </w:r>
            <w:r>
              <w:rPr>
                <w:rFonts w:hint="eastAsia"/>
                <w:color w:val="FF0000"/>
                <w:sz w:val="18"/>
                <w:szCs w:val="22"/>
              </w:rPr>
              <w:t>t2r8</w:t>
            </w:r>
            <w:r>
              <w:rPr>
                <w:color w:val="FF0000"/>
                <w:sz w:val="18"/>
                <w:szCs w:val="22"/>
              </w:rPr>
              <w:t xml:space="preserve">' </w:t>
            </w:r>
            <w:r>
              <w:rPr>
                <w:sz w:val="18"/>
                <w:szCs w:val="22"/>
              </w:rPr>
              <w:t xml:space="preserve">for 2T8R, </w:t>
            </w:r>
            <w:r>
              <w:rPr>
                <w:strike/>
                <w:color w:val="FF0000"/>
                <w:sz w:val="18"/>
                <w:szCs w:val="22"/>
              </w:rPr>
              <w:t xml:space="preserve">'4t8r' </w:t>
            </w:r>
            <w:r>
              <w:rPr>
                <w:color w:val="FF0000"/>
                <w:sz w:val="18"/>
                <w:szCs w:val="22"/>
              </w:rPr>
              <w:t>'</w:t>
            </w:r>
            <w:r>
              <w:rPr>
                <w:rFonts w:hint="eastAsia"/>
                <w:color w:val="FF0000"/>
                <w:sz w:val="18"/>
                <w:szCs w:val="22"/>
              </w:rPr>
              <w:t>t4r8</w:t>
            </w:r>
            <w:r>
              <w:rPr>
                <w:color w:val="FF0000"/>
                <w:sz w:val="18"/>
                <w:szCs w:val="22"/>
              </w:rPr>
              <w:t xml:space="preserve">' </w:t>
            </w:r>
            <w:r>
              <w:rPr>
                <w:sz w:val="18"/>
                <w:szCs w:val="22"/>
              </w:rPr>
              <w:t xml:space="preserve">for 4T8R, </w:t>
            </w:r>
            <w:r>
              <w:rPr>
                <w:iCs/>
                <w:sz w:val="18"/>
                <w:szCs w:val="22"/>
              </w:rPr>
              <w:t>'t1r1-t1r2-t1r4' for 1T=1R/1T2R/1T4R,</w:t>
            </w:r>
            <w:r>
              <w:rPr>
                <w:sz w:val="18"/>
                <w:szCs w:val="22"/>
              </w:rPr>
              <w:t xml:space="preserve"> 't1r4-t2r4' for 1T4R/2T4R, </w:t>
            </w:r>
            <w:r>
              <w:rPr>
                <w:iCs/>
                <w:sz w:val="18"/>
                <w:szCs w:val="22"/>
              </w:rPr>
              <w:t>'t1r1-t1r2-t2r2-t2r4' for 1T=1R/1T2R/2T=2R/2T4R, '</w:t>
            </w:r>
            <w:r>
              <w:rPr>
                <w:bCs/>
                <w:iCs/>
                <w:sz w:val="18"/>
                <w:szCs w:val="22"/>
              </w:rPr>
              <w:t>t1r1-t1r2</w:t>
            </w:r>
            <w:r>
              <w:rPr>
                <w:iCs/>
                <w:sz w:val="18"/>
                <w:szCs w:val="22"/>
              </w:rPr>
              <w:t>-</w:t>
            </w:r>
            <w:r>
              <w:rPr>
                <w:bCs/>
                <w:iCs/>
                <w:sz w:val="18"/>
                <w:szCs w:val="22"/>
              </w:rPr>
              <w:t>t2r2-t1r4-t2r4</w:t>
            </w:r>
            <w:r>
              <w:rPr>
                <w:iCs/>
                <w:sz w:val="18"/>
                <w:szCs w:val="22"/>
              </w:rPr>
              <w:t>' for 1T=1R/1T2R/2T=2R/1T4R/2T4R,</w:t>
            </w:r>
            <w:r>
              <w:rPr>
                <w:sz w:val="18"/>
                <w:szCs w:val="22"/>
              </w:rPr>
              <w:t xml:space="preserve"> 't1r1' for 1T=1R, 't2r2' for 2T=2R, </w:t>
            </w:r>
            <w:r>
              <w:rPr>
                <w:iCs/>
                <w:sz w:val="18"/>
                <w:szCs w:val="22"/>
              </w:rPr>
              <w:t>'t1r1-t2r2' for 1T=1R/2T=2R,</w:t>
            </w:r>
            <w:r>
              <w:rPr>
                <w:sz w:val="18"/>
                <w:szCs w:val="22"/>
              </w:rPr>
              <w:t xml:space="preserve"> 't4r4' for 4T=4R, or </w:t>
            </w:r>
            <w:r>
              <w:rPr>
                <w:iCs/>
                <w:sz w:val="18"/>
                <w:szCs w:val="22"/>
              </w:rPr>
              <w:t>'t1r1-t2r2-t4r4' for 1T=1R/2T=2R/4T=4R</w:t>
            </w:r>
            <w:r>
              <w:rPr>
                <w:color w:val="000000"/>
                <w:sz w:val="18"/>
                <w:szCs w:val="22"/>
              </w:rPr>
              <w: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color w:val="3333FF"/>
                <w:sz w:val="18"/>
                <w:szCs w:val="18"/>
                <w:lang w:val="en-GB" w:eastAsia="zh-CN"/>
              </w:rPr>
            </w:pPr>
            <w:r>
              <w:rPr>
                <w:rFonts w:eastAsiaTheme="minorEastAsia"/>
                <w:color w:val="FF0000"/>
                <w:sz w:val="18"/>
                <w:szCs w:val="18"/>
                <w:lang w:val="en-US" w:eastAsia="zh-CN"/>
              </w:rPr>
              <w:t>&lt;End of TP for TS38.214&gt;</w:t>
            </w:r>
          </w:p>
        </w:tc>
      </w:tr>
    </w:tbl>
    <w:p>
      <w:pPr>
        <w:bidi w:val="0"/>
      </w:pPr>
    </w:p>
    <w:p>
      <w:pPr>
        <w:bidi w:val="0"/>
      </w:pPr>
    </w:p>
    <w:p>
      <w:pPr>
        <w:pStyle w:val="4"/>
        <w:bidi w:val="0"/>
        <w:rPr>
          <w:rFonts w:hint="default"/>
          <w:lang w:val="en-US" w:eastAsia="zh-CN"/>
        </w:rPr>
      </w:pPr>
      <w:r>
        <w:rPr>
          <w:b/>
          <w:bCs/>
          <w:lang w:eastAsia="zh-CN"/>
        </w:rPr>
        <w:t>TP#</w:t>
      </w:r>
      <w:r>
        <w:rPr>
          <w:rFonts w:hint="eastAsia"/>
          <w:b/>
          <w:bCs/>
          <w:lang w:val="en-US" w:eastAsia="zh-CN"/>
        </w:rPr>
        <w:t>3-2 in TS38.211</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Reason of change:</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sz w:val="18"/>
          <w:szCs w:val="18"/>
          <w:lang w:eastAsia="zh-CN"/>
        </w:rPr>
        <w:t xml:space="preserve">It has been agreed that the candidate value of </w:t>
      </w:r>
      <m:oMath>
        <m:sSub>
          <m:sSubPr>
            <m:ctrlPr>
              <w:rPr>
                <w:rFonts w:hint="default" w:ascii="Cambria Math" w:hAnsi="Cambria Math" w:cs="Times New Roman"/>
                <w:sz w:val="18"/>
                <w:szCs w:val="18"/>
                <w:lang w:eastAsia="zh-CN"/>
              </w:rPr>
            </m:ctrlPr>
          </m:sSubPr>
          <m:e>
            <m:r>
              <w:rPr>
                <w:rFonts w:hint="default" w:ascii="Cambria Math" w:hAnsi="Cambria Math" w:cs="Times New Roman"/>
                <w:sz w:val="18"/>
                <w:szCs w:val="18"/>
                <w:lang w:eastAsia="zh-CN"/>
              </w:rPr>
              <m:t>P</m:t>
            </m:r>
            <m:ctrlPr>
              <w:rPr>
                <w:rFonts w:hint="default" w:ascii="Cambria Math" w:hAnsi="Cambria Math" w:cs="Times New Roman"/>
                <w:sz w:val="18"/>
                <w:szCs w:val="18"/>
                <w:lang w:eastAsia="zh-CN"/>
              </w:rPr>
            </m:ctrlPr>
          </m:e>
          <m:sub>
            <m:r>
              <m:rPr>
                <m:nor/>
                <m:sty m:val="p"/>
              </m:rPr>
              <w:rPr>
                <w:rFonts w:hint="default" w:ascii="Cambria Math" w:hAnsi="Cambria Math" w:cs="Times New Roman"/>
                <w:b w:val="0"/>
                <w:i w:val="0"/>
                <w:sz w:val="18"/>
                <w:szCs w:val="18"/>
                <w:lang w:eastAsia="zh-CN"/>
              </w:rPr>
              <m:t>F</m:t>
            </m:r>
            <m:ctrlPr>
              <w:rPr>
                <w:rFonts w:hint="default" w:ascii="Cambria Math" w:hAnsi="Cambria Math" w:cs="Times New Roman"/>
                <w:sz w:val="18"/>
                <w:szCs w:val="18"/>
                <w:lang w:eastAsia="zh-CN"/>
              </w:rPr>
            </m:ctrlPr>
          </m:sub>
        </m:sSub>
      </m:oMath>
      <w:r>
        <w:rPr>
          <w:rFonts w:hint="default" w:ascii="Times New Roman" w:hAnsi="Times New Roman" w:cs="Times New Roman"/>
          <w:sz w:val="18"/>
          <w:szCs w:val="18"/>
          <w:lang w:eastAsia="zh-CN"/>
        </w:rPr>
        <w:t xml:space="preserve"> including 2 and 4, however, the candidate values are not well captured in TS38.211 as the other parameters.</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US" w:eastAsia="zh-CN"/>
        </w:rPr>
        <w:t>Summary of change</w:t>
      </w:r>
      <w:r>
        <w:rPr>
          <w:rFonts w:hint="default"/>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 xml:space="preserve">Clarify </w:t>
      </w:r>
      <w:r>
        <w:rPr>
          <w:rFonts w:hint="eastAsia" w:ascii="Times New Roman" w:hAnsi="Times New Roman" w:cs="Times New Roman"/>
          <w:sz w:val="18"/>
          <w:szCs w:val="18"/>
          <w:lang w:val="en-US" w:eastAsia="zh-CN"/>
        </w:rPr>
        <w:t xml:space="preserve">in </w:t>
      </w:r>
      <w:r>
        <w:rPr>
          <w:rFonts w:hint="default" w:ascii="Times New Roman" w:hAnsi="Times New Roman" w:cs="Times New Roman"/>
          <w:sz w:val="18"/>
          <w:szCs w:val="18"/>
          <w:lang w:val="en-US" w:eastAsia="zh-CN"/>
        </w:rPr>
        <w:t>TS38.211</w:t>
      </w:r>
      <w:r>
        <w:rPr>
          <w:rFonts w:hint="eastAsia" w:ascii="Times New Roman" w:hAnsi="Times New Roman" w:cs="Times New Roman"/>
          <w:sz w:val="18"/>
          <w:szCs w:val="18"/>
          <w:lang w:val="en-US" w:eastAsia="zh-CN"/>
        </w:rPr>
        <w:t xml:space="preserve"> </w:t>
      </w:r>
      <w:r>
        <w:rPr>
          <w:rFonts w:hint="default" w:ascii="Times New Roman" w:hAnsi="Times New Roman" w:cs="Times New Roman"/>
          <w:sz w:val="18"/>
          <w:szCs w:val="18"/>
          <w:lang w:val="en-US" w:eastAsia="zh-CN"/>
        </w:rPr>
        <w:t xml:space="preserve">that </w:t>
      </w:r>
      <w:r>
        <w:rPr>
          <w:rFonts w:hint="default" w:ascii="Times New Roman" w:hAnsi="Times New Roman" w:cs="Times New Roman"/>
          <w:sz w:val="18"/>
          <w:szCs w:val="18"/>
          <w:lang w:eastAsia="zh-CN"/>
        </w:rPr>
        <w:t xml:space="preserve">the candidate value of </w:t>
      </w:r>
      <m:oMath>
        <m:sSub>
          <m:sSubPr>
            <m:ctrlPr>
              <w:rPr>
                <w:rFonts w:hint="default" w:ascii="Cambria Math" w:hAnsi="Cambria Math" w:cs="Times New Roman"/>
                <w:sz w:val="18"/>
                <w:szCs w:val="18"/>
                <w:lang w:eastAsia="zh-CN"/>
              </w:rPr>
            </m:ctrlPr>
          </m:sSubPr>
          <m:e>
            <m:r>
              <m:rPr>
                <m:sty m:val="p"/>
              </m:rPr>
              <w:rPr>
                <w:rFonts w:hint="default" w:ascii="Cambria Math" w:hAnsi="Cambria Math" w:cs="Times New Roman"/>
                <w:sz w:val="18"/>
                <w:szCs w:val="18"/>
                <w:lang w:eastAsia="zh-CN"/>
              </w:rPr>
              <m:t>P</m:t>
            </m:r>
            <m:ctrlPr>
              <w:rPr>
                <w:rFonts w:hint="default" w:ascii="Cambria Math" w:hAnsi="Cambria Math" w:cs="Times New Roman"/>
                <w:sz w:val="18"/>
                <w:szCs w:val="18"/>
                <w:lang w:eastAsia="zh-CN"/>
              </w:rPr>
            </m:ctrlPr>
          </m:e>
          <m:sub>
            <m:r>
              <m:rPr>
                <m:nor/>
                <m:sty m:val="p"/>
              </m:rPr>
              <w:rPr>
                <w:rFonts w:hint="default" w:ascii="Cambria Math" w:hAnsi="Cambria Math" w:cs="Times New Roman"/>
                <w:b w:val="0"/>
                <w:i w:val="0"/>
                <w:sz w:val="18"/>
                <w:szCs w:val="18"/>
                <w:lang w:eastAsia="zh-CN"/>
              </w:rPr>
              <m:t>F</m:t>
            </m:r>
            <m:ctrlPr>
              <w:rPr>
                <w:rFonts w:hint="default" w:ascii="Cambria Math" w:hAnsi="Cambria Math" w:cs="Times New Roman"/>
                <w:sz w:val="18"/>
                <w:szCs w:val="18"/>
                <w:lang w:eastAsia="zh-CN"/>
              </w:rPr>
            </m:ctrlPr>
          </m:sub>
        </m:sSub>
      </m:oMath>
      <w:r>
        <w:rPr>
          <w:rFonts w:hint="default" w:ascii="Times New Roman" w:hAnsi="Times New Roman" w:cs="Times New Roman"/>
          <w:sz w:val="18"/>
          <w:szCs w:val="18"/>
          <w:lang w:eastAsia="zh-CN"/>
        </w:rPr>
        <w:t xml:space="preserve"> including 2 and 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 xml:space="preserve">Consequence </w:t>
      </w:r>
      <w:r>
        <w:rPr>
          <w:rFonts w:hint="default"/>
          <w:b/>
          <w:bCs/>
          <w:sz w:val="18"/>
          <w:szCs w:val="18"/>
          <w:u w:val="single"/>
          <w:lang w:val="en-US" w:eastAsia="zh-CN"/>
        </w:rPr>
        <w:t>if not approved</w:t>
      </w:r>
      <w:r>
        <w:rPr>
          <w:rFonts w:hint="default"/>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The candidate value of </w:t>
      </w:r>
      <m:oMath>
        <m:sSub>
          <m:sSubPr>
            <m:ctrlPr>
              <w:rPr>
                <w:rFonts w:hint="default" w:ascii="Cambria Math" w:hAnsi="Cambria Math" w:cs="Times New Roman"/>
                <w:sz w:val="18"/>
                <w:szCs w:val="18"/>
                <w:lang w:val="en-US" w:eastAsia="zh-CN"/>
              </w:rPr>
            </m:ctrlPr>
          </m:sSubPr>
          <m:e>
            <m:r>
              <m:rPr>
                <m:sty m:val="p"/>
              </m:rPr>
              <w:rPr>
                <w:rFonts w:hint="default" w:ascii="Cambria Math" w:hAnsi="Cambria Math" w:cs="Times New Roman"/>
                <w:sz w:val="18"/>
                <w:szCs w:val="18"/>
                <w:lang w:val="en-US" w:eastAsia="zh-CN"/>
              </w:rPr>
              <m:t>P</m:t>
            </m:r>
            <m:ctrlPr>
              <w:rPr>
                <w:rFonts w:hint="default" w:ascii="Cambria Math" w:hAnsi="Cambria Math" w:cs="Times New Roman"/>
                <w:sz w:val="18"/>
                <w:szCs w:val="18"/>
                <w:lang w:val="en-US" w:eastAsia="zh-CN"/>
              </w:rPr>
            </m:ctrlPr>
          </m:e>
          <m:sub>
            <m:r>
              <m:rPr>
                <m:nor/>
                <m:sty m:val="p"/>
              </m:rPr>
              <w:rPr>
                <w:rFonts w:hint="default" w:ascii="Cambria Math" w:hAnsi="Cambria Math" w:cs="Times New Roman"/>
                <w:b w:val="0"/>
                <w:i w:val="0"/>
                <w:sz w:val="18"/>
                <w:szCs w:val="18"/>
                <w:lang w:val="en-US" w:eastAsia="zh-CN"/>
              </w:rPr>
              <m:t>F</m:t>
            </m:r>
            <m:ctrlPr>
              <w:rPr>
                <w:rFonts w:hint="default" w:ascii="Cambria Math" w:hAnsi="Cambria Math" w:cs="Times New Roman"/>
                <w:sz w:val="18"/>
                <w:szCs w:val="18"/>
                <w:lang w:val="en-US" w:eastAsia="zh-CN"/>
              </w:rPr>
            </m:ctrlPr>
          </m:sub>
        </m:sSub>
      </m:oMath>
      <w:r>
        <w:rPr>
          <w:rFonts w:hint="default" w:ascii="Times New Roman" w:hAnsi="Times New Roman" w:cs="Times New Roman"/>
          <w:sz w:val="18"/>
          <w:szCs w:val="18"/>
          <w:lang w:val="en-US" w:eastAsia="zh-CN"/>
        </w:rPr>
        <w:t xml:space="preserve"> will be ambiguous</w:t>
      </w:r>
      <w:r>
        <w:rPr>
          <w:rFonts w:hint="eastAsia" w:ascii="Times New Roman" w:hAnsi="Times New Roman" w:cs="Times New Roman"/>
          <w:sz w:val="18"/>
          <w:szCs w:val="18"/>
          <w:lang w:val="en-US" w:eastAsia="zh-CN"/>
        </w:rPr>
        <w:t xml:space="preserve"> in TS38.211</w:t>
      </w:r>
      <w:r>
        <w:rPr>
          <w:rFonts w:hint="default" w:ascii="Times New Roman" w:hAnsi="Times New Roman" w:cs="Times New Roman"/>
          <w:sz w:val="18"/>
          <w:szCs w:val="18"/>
          <w:lang w:val="en-US" w:eastAsia="zh-CN"/>
        </w:rPr>
        <w:t>.</w:t>
      </w:r>
    </w:p>
    <w:p>
      <w:pPr>
        <w:rPr>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3-2</w:t>
      </w:r>
      <w:r>
        <w:rPr>
          <w:b/>
          <w:bCs/>
          <w:sz w:val="18"/>
          <w:szCs w:val="18"/>
          <w:lang w:eastAsia="zh-CN"/>
        </w:rPr>
        <w:t xml:space="preserve">: </w:t>
      </w:r>
      <w:r>
        <w:rPr>
          <w:rFonts w:hint="eastAsia"/>
          <w:b/>
          <w:bCs/>
          <w:sz w:val="18"/>
          <w:szCs w:val="18"/>
          <w:lang w:eastAsia="zh-CN"/>
        </w:rPr>
        <w:t>Partial frequency hopping</w:t>
      </w:r>
    </w:p>
    <w:tbl>
      <w:tblPr>
        <w:tblStyle w:val="18"/>
        <w:tblW w:w="10033" w:type="dxa"/>
        <w:tblInd w:w="0" w:type="dxa"/>
        <w:tblLayout w:type="fixed"/>
        <w:tblCellMar>
          <w:top w:w="0" w:type="dxa"/>
          <w:left w:w="10" w:type="dxa"/>
          <w:bottom w:w="0" w:type="dxa"/>
          <w:right w:w="10" w:type="dxa"/>
        </w:tblCellMar>
      </w:tblPr>
      <w:tblGrid>
        <w:gridCol w:w="10033"/>
      </w:tblGrid>
      <w:tr>
        <w:tblPrEx>
          <w:tblCellMar>
            <w:top w:w="0" w:type="dxa"/>
            <w:left w:w="10" w:type="dxa"/>
            <w:bottom w:w="0" w:type="dxa"/>
            <w:right w:w="10" w:type="dxa"/>
          </w:tblCellMar>
        </w:tblPrEx>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1</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4.1.4.3</w:t>
            </w:r>
            <w:r>
              <w:rPr>
                <w:b/>
                <w:sz w:val="18"/>
                <w:szCs w:val="18"/>
                <w:lang w:eastAsia="zh-CN"/>
              </w:rPr>
              <w:tab/>
            </w:r>
            <w:r>
              <w:rPr>
                <w:rFonts w:hint="eastAsia"/>
                <w:b/>
                <w:sz w:val="18"/>
                <w:szCs w:val="18"/>
                <w:lang w:eastAsia="zh-CN"/>
              </w:rPr>
              <w:t>Mapping to physical resources</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widowControl w:val="0"/>
              <w:rPr>
                <w:sz w:val="18"/>
                <w:szCs w:val="18"/>
              </w:rPr>
            </w:pPr>
            <w:r>
              <w:rPr>
                <w:sz w:val="18"/>
                <w:szCs w:val="18"/>
              </w:rPr>
              <w:t xml:space="preserve">When SRS is transmitted on a given SRS resource, the sequence </w:t>
            </w:r>
            <m:oMath>
              <m:sSup>
                <m:sSupPr>
                  <m:ctrlPr>
                    <w:rPr>
                      <w:rFonts w:ascii="Cambria Math" w:hAnsi="Cambria Math"/>
                      <w:i/>
                      <w:sz w:val="18"/>
                      <w:szCs w:val="18"/>
                    </w:rPr>
                  </m:ctrlPr>
                </m:sSupPr>
                <m:e>
                  <m:r>
                    <w:rPr>
                      <w:rFonts w:ascii="Cambria Math" w:hAnsi="Cambria Math"/>
                      <w:sz w:val="18"/>
                      <w:szCs w:val="18"/>
                    </w:rPr>
                    <m:t>r</m:t>
                  </m:r>
                  <m:ctrlPr>
                    <w:rPr>
                      <w:rFonts w:ascii="Cambria Math" w:hAnsi="Cambria Math"/>
                      <w:i/>
                      <w:sz w:val="18"/>
                      <w:szCs w:val="18"/>
                    </w:rPr>
                  </m:ctrlPr>
                </m:e>
                <m: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p</m:t>
                          </m:r>
                          <m:ctrlPr>
                            <w:rPr>
                              <w:rFonts w:ascii="Cambria Math" w:hAnsi="Cambria Math"/>
                              <w:i/>
                              <w:sz w:val="18"/>
                              <w:szCs w:val="18"/>
                            </w:rPr>
                          </m:ctrlPr>
                        </m:e>
                        <m:sub>
                          <m:r>
                            <w:rPr>
                              <w:rFonts w:ascii="Cambria Math" w:hAnsi="Cambria Math"/>
                              <w:sz w:val="18"/>
                              <w:szCs w:val="18"/>
                            </w:rPr>
                            <m:t>i</m:t>
                          </m:r>
                          <m:ctrlPr>
                            <w:rPr>
                              <w:rFonts w:ascii="Cambria Math" w:hAnsi="Cambria Math"/>
                              <w:i/>
                              <w:sz w:val="18"/>
                              <w:szCs w:val="18"/>
                            </w:rPr>
                          </m:ctrlPr>
                        </m:sub>
                      </m:sSub>
                      <m:ctrlPr>
                        <w:rPr>
                          <w:rFonts w:ascii="Cambria Math" w:hAnsi="Cambria Math"/>
                          <w:i/>
                          <w:sz w:val="18"/>
                          <w:szCs w:val="18"/>
                        </w:rPr>
                      </m:ctrlPr>
                    </m:e>
                  </m:d>
                  <m:ctrlPr>
                    <w:rPr>
                      <w:rFonts w:ascii="Cambria Math" w:hAnsi="Cambria Math"/>
                      <w:i/>
                      <w:sz w:val="18"/>
                      <w:szCs w:val="18"/>
                    </w:rPr>
                  </m:ctrlPr>
                </m:sup>
              </m:sSup>
              <m:r>
                <w:rPr>
                  <w:rFonts w:ascii="Cambria Math" w:hAnsi="Cambria Math"/>
                  <w:sz w:val="18"/>
                  <w:szCs w:val="18"/>
                </w:rPr>
                <m:t>(n,l')</m:t>
              </m:r>
            </m:oMath>
            <w:r>
              <w:rPr>
                <w:sz w:val="18"/>
                <w:szCs w:val="18"/>
              </w:rPr>
              <w:t xml:space="preserve"> for each OFDM symbol </w:t>
            </w:r>
            <m:oMath>
              <m:r>
                <w:rPr>
                  <w:rFonts w:ascii="Cambria Math" w:hAnsi="Cambria Math"/>
                  <w:sz w:val="18"/>
                  <w:szCs w:val="18"/>
                </w:rPr>
                <m:t>l'</m:t>
              </m:r>
            </m:oMath>
            <w:r>
              <w:rPr>
                <w:sz w:val="18"/>
                <w:szCs w:val="18"/>
              </w:rPr>
              <w:t xml:space="preserve"> and for each of the antenna ports of the SRS resource shall be multiplied with the amplitude scaling factor </w:t>
            </w:r>
            <w:r>
              <w:rPr>
                <w:position w:val="-10"/>
                <w:sz w:val="18"/>
                <w:szCs w:val="18"/>
              </w:rPr>
              <w:object>
                <v:shape id="_x0000_i1025" o:spt="75" type="#_x0000_t75" style="height:11.05pt;width:18.9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sz w:val="18"/>
                <w:szCs w:val="18"/>
              </w:rPr>
              <w:t xml:space="preserve"> in order to conform to the transmit power specified in [5, 38.213] and mapped in sequence starting with </w:t>
            </w:r>
            <w:r>
              <w:rPr>
                <w:position w:val="-16"/>
                <w:sz w:val="18"/>
                <w:szCs w:val="18"/>
              </w:rPr>
              <w:object>
                <v:shape id="_x0000_i1026" o:spt="75" type="#_x0000_t75" style="height:18.95pt;width:37.9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sz w:val="18"/>
                <w:szCs w:val="18"/>
              </w:rPr>
              <w:t xml:space="preserve"> to resource elements </w:t>
            </w:r>
            <w:r>
              <w:rPr>
                <w:position w:val="-10"/>
                <w:sz w:val="18"/>
                <w:szCs w:val="18"/>
              </w:rPr>
              <w:object>
                <v:shape id="_x0000_i1027" o:spt="75" type="#_x0000_t75" style="height:11.05pt;width:18.9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sz w:val="18"/>
                <w:szCs w:val="18"/>
              </w:rPr>
              <w:t xml:space="preserve"> in a slot for each of the antenna ports </w:t>
            </w:r>
            <w:r>
              <w:rPr>
                <w:position w:val="-10"/>
                <w:sz w:val="18"/>
                <w:szCs w:val="18"/>
              </w:rPr>
              <w:object>
                <v:shape id="_x0000_i1028" o:spt="75" type="#_x0000_t75" style="height:15.15pt;width:15.1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sz w:val="18"/>
                <w:szCs w:val="18"/>
              </w:rPr>
              <w:t xml:space="preserve"> according to</w:t>
            </w:r>
          </w:p>
          <w:p>
            <w:pPr>
              <w:pStyle w:val="110"/>
              <w:widowControl w:val="0"/>
              <w:jc w:val="center"/>
              <w:rPr>
                <w:sz w:val="18"/>
                <w:szCs w:val="18"/>
              </w:rPr>
            </w:pPr>
            <w:r>
              <w:rPr>
                <w:position w:val="-44"/>
                <w:sz w:val="18"/>
                <w:szCs w:val="18"/>
              </w:rPr>
              <w:object>
                <v:shape id="_x0000_i1029" o:spt="75" type="#_x0000_t75" style="height:41.35pt;width:273.1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p>
          <w:p>
            <w:pPr>
              <w:widowControl w:val="0"/>
              <w:rPr>
                <w:rFonts w:eastAsia="MS Mincho"/>
                <w:sz w:val="18"/>
                <w:szCs w:val="18"/>
                <w:lang w:eastAsia="ja-JP"/>
              </w:rPr>
            </w:pPr>
            <w:r>
              <w:rPr>
                <w:sz w:val="18"/>
                <w:szCs w:val="18"/>
              </w:rPr>
              <w:t>The length of the sounding reference signal sequence is given by</w:t>
            </w:r>
          </w:p>
          <w:p>
            <w:pPr>
              <w:pStyle w:val="110"/>
              <w:widowControl w:val="0"/>
              <w:jc w:val="center"/>
              <w:rPr>
                <w:rFonts w:eastAsia="MS Mincho"/>
                <w:sz w:val="18"/>
                <w:szCs w:val="18"/>
                <w:lang w:eastAsia="ja-JP"/>
              </w:rPr>
            </w:pPr>
            <m:oMathPara>
              <m:oMath>
                <m:sSubSup>
                  <m:sSubSupPr>
                    <m:ctrlPr>
                      <w:rPr>
                        <w:rFonts w:ascii="Cambria Math" w:hAnsi="Cambria Math" w:eastAsiaTheme="minorHAnsi"/>
                        <w:i/>
                        <w:sz w:val="18"/>
                        <w:szCs w:val="18"/>
                        <w:lang w:val="sv-SE"/>
                      </w:rPr>
                    </m:ctrlPr>
                  </m:sSubSupPr>
                  <m:e>
                    <m:r>
                      <w:rPr>
                        <w:rFonts w:ascii="Cambria Math" w:hAnsi="Cambria Math"/>
                        <w:sz w:val="18"/>
                        <w:szCs w:val="18"/>
                      </w:rPr>
                      <m:t>M</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sc</m:t>
                    </m:r>
                    <m:r>
                      <w:rPr>
                        <w:rFonts w:ascii="Cambria Math" w:hAnsi="Cambria Math"/>
                        <w:sz w:val="18"/>
                        <w:szCs w:val="18"/>
                        <w:lang w:val="en-US"/>
                      </w:rPr>
                      <m:t>,</m:t>
                    </m:r>
                    <m:r>
                      <w:rPr>
                        <w:rFonts w:ascii="Cambria Math" w:hAnsi="Cambria Math"/>
                        <w:sz w:val="18"/>
                        <w:szCs w:val="18"/>
                      </w:rPr>
                      <m:t>b</m:t>
                    </m:r>
                    <m:ctrlPr>
                      <w:rPr>
                        <w:rFonts w:ascii="Cambria Math" w:hAnsi="Cambria Math" w:eastAsiaTheme="minorHAnsi"/>
                        <w:i/>
                        <w:sz w:val="18"/>
                        <w:szCs w:val="18"/>
                        <w:lang w:val="sv-SE"/>
                      </w:rPr>
                    </m:ctrlPr>
                  </m:sub>
                  <m:sup>
                    <m:r>
                      <m:rPr>
                        <m:nor/>
                        <m:sty m:val="p"/>
                      </m:rPr>
                      <w:rPr>
                        <w:rFonts w:ascii="Cambria Math" w:hAnsi="Cambria Math"/>
                        <w:b w:val="0"/>
                        <w:i w:val="0"/>
                        <w:sz w:val="18"/>
                        <w:szCs w:val="18"/>
                        <w:lang w:val="en-US"/>
                      </w:rPr>
                      <m:t>SRS</m:t>
                    </m:r>
                    <m:ctrlPr>
                      <w:rPr>
                        <w:rFonts w:ascii="Cambria Math" w:hAnsi="Cambria Math" w:eastAsiaTheme="minorHAnsi"/>
                        <w:i/>
                        <w:sz w:val="18"/>
                        <w:szCs w:val="18"/>
                        <w:lang w:val="sv-SE"/>
                      </w:rPr>
                    </m:ctrlPr>
                  </m:sup>
                </m:sSubSup>
                <m:r>
                  <w:rPr>
                    <w:rFonts w:ascii="Cambria Math" w:hAnsi="Cambria Math"/>
                    <w:sz w:val="18"/>
                    <w:szCs w:val="18"/>
                    <w:lang w:val="en-US"/>
                  </w:rPr>
                  <m:t>=</m:t>
                </m:r>
                <m:f>
                  <m:fPr>
                    <m:type m:val="lin"/>
                    <m:ctrlPr>
                      <w:rPr>
                        <w:rFonts w:ascii="Cambria Math" w:hAnsi="Cambria Math" w:eastAsiaTheme="minorHAnsi"/>
                        <w:i/>
                        <w:sz w:val="18"/>
                        <w:szCs w:val="18"/>
                        <w:lang w:val="sv-SE"/>
                      </w:rPr>
                    </m:ctrlPr>
                  </m:fPr>
                  <m:num>
                    <m:sSub>
                      <m:sSubPr>
                        <m:ctrlPr>
                          <w:rPr>
                            <w:rFonts w:ascii="Cambria Math" w:hAnsi="Cambria Math" w:eastAsiaTheme="minorHAnsi"/>
                            <w:i/>
                            <w:sz w:val="18"/>
                            <w:szCs w:val="18"/>
                            <w:lang w:val="sv-SE"/>
                          </w:rPr>
                        </m:ctrlPr>
                      </m:sSubPr>
                      <m:e>
                        <m:r>
                          <w:rPr>
                            <w:rFonts w:ascii="Cambria Math" w:hAnsi="Cambria Math"/>
                            <w:sz w:val="18"/>
                            <w:szCs w:val="18"/>
                          </w:rPr>
                          <m:t>m</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SRS</m:t>
                        </m:r>
                        <m:r>
                          <w:rPr>
                            <w:rFonts w:ascii="Cambria Math" w:hAnsi="Cambria Math"/>
                            <w:sz w:val="18"/>
                            <w:szCs w:val="18"/>
                            <w:lang w:val="en-US"/>
                          </w:rPr>
                          <m:t>,</m:t>
                        </m:r>
                        <m:r>
                          <w:rPr>
                            <w:rFonts w:ascii="Cambria Math" w:hAnsi="Cambria Math"/>
                            <w:sz w:val="18"/>
                            <w:szCs w:val="18"/>
                          </w:rPr>
                          <m:t>b</m:t>
                        </m:r>
                        <m:ctrlPr>
                          <w:rPr>
                            <w:rFonts w:ascii="Cambria Math" w:hAnsi="Cambria Math" w:eastAsiaTheme="minorHAnsi"/>
                            <w:i/>
                            <w:sz w:val="18"/>
                            <w:szCs w:val="18"/>
                            <w:lang w:val="sv-SE"/>
                          </w:rPr>
                        </m:ctrlPr>
                      </m:sub>
                    </m:sSub>
                    <m:sSubSup>
                      <m:sSubSupPr>
                        <m:ctrlPr>
                          <w:rPr>
                            <w:rFonts w:ascii="Cambria Math" w:hAnsi="Cambria Math" w:eastAsiaTheme="minorHAnsi"/>
                            <w:i/>
                            <w:sz w:val="18"/>
                            <w:szCs w:val="18"/>
                            <w:lang w:val="sv-SE"/>
                          </w:rPr>
                        </m:ctrlPr>
                      </m:sSubSupPr>
                      <m:e>
                        <m:r>
                          <w:rPr>
                            <w:rFonts w:ascii="Cambria Math" w:hAnsi="Cambria Math"/>
                            <w:sz w:val="18"/>
                            <w:szCs w:val="18"/>
                          </w:rPr>
                          <m:t>N</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sc</m:t>
                        </m:r>
                        <m:ctrlPr>
                          <w:rPr>
                            <w:rFonts w:ascii="Cambria Math" w:hAnsi="Cambria Math" w:eastAsiaTheme="minorHAnsi"/>
                            <w:i/>
                            <w:sz w:val="18"/>
                            <w:szCs w:val="18"/>
                            <w:lang w:val="sv-SE"/>
                          </w:rPr>
                        </m:ctrlPr>
                      </m:sub>
                      <m:sup>
                        <m:r>
                          <m:rPr>
                            <m:nor/>
                            <m:sty m:val="p"/>
                          </m:rPr>
                          <w:rPr>
                            <w:rFonts w:ascii="Cambria Math" w:hAnsi="Cambria Math"/>
                            <w:b w:val="0"/>
                            <w:i w:val="0"/>
                            <w:sz w:val="18"/>
                            <w:szCs w:val="18"/>
                            <w:lang w:val="en-US"/>
                          </w:rPr>
                          <m:t>RB</m:t>
                        </m:r>
                        <m:ctrlPr>
                          <w:rPr>
                            <w:rFonts w:ascii="Cambria Math" w:hAnsi="Cambria Math" w:eastAsiaTheme="minorHAnsi"/>
                            <w:i/>
                            <w:sz w:val="18"/>
                            <w:szCs w:val="18"/>
                            <w:lang w:val="sv-SE"/>
                          </w:rPr>
                        </m:ctrlPr>
                      </m:sup>
                    </m:sSubSup>
                    <m:ctrlPr>
                      <w:rPr>
                        <w:rFonts w:ascii="Cambria Math" w:hAnsi="Cambria Math" w:eastAsiaTheme="minorHAnsi"/>
                        <w:i/>
                        <w:sz w:val="18"/>
                        <w:szCs w:val="18"/>
                        <w:lang w:val="sv-SE"/>
                      </w:rPr>
                    </m:ctrlPr>
                  </m:num>
                  <m:den>
                    <m:d>
                      <m:dPr>
                        <m:ctrlPr>
                          <w:rPr>
                            <w:rFonts w:ascii="Cambria Math" w:hAnsi="Cambria Math" w:eastAsiaTheme="minorHAnsi"/>
                            <w:i/>
                            <w:sz w:val="18"/>
                            <w:szCs w:val="18"/>
                            <w:lang w:val="sv-SE"/>
                          </w:rPr>
                        </m:ctrlPr>
                      </m:dPr>
                      <m:e>
                        <m:sSub>
                          <m:sSubPr>
                            <m:ctrlPr>
                              <w:rPr>
                                <w:rFonts w:ascii="Cambria Math" w:hAnsi="Cambria Math" w:eastAsiaTheme="minorHAnsi"/>
                                <w:i/>
                                <w:sz w:val="18"/>
                                <w:szCs w:val="18"/>
                                <w:lang w:val="sv-SE"/>
                              </w:rPr>
                            </m:ctrlPr>
                          </m:sSubPr>
                          <m:e>
                            <m:r>
                              <w:rPr>
                                <w:rFonts w:ascii="Cambria Math" w:hAnsi="Cambria Math"/>
                                <w:sz w:val="18"/>
                                <w:szCs w:val="18"/>
                              </w:rPr>
                              <m:t>K</m:t>
                            </m:r>
                            <m:ctrlPr>
                              <w:rPr>
                                <w:rFonts w:ascii="Cambria Math" w:hAnsi="Cambria Math" w:eastAsiaTheme="minorHAnsi"/>
                                <w:i/>
                                <w:sz w:val="18"/>
                                <w:szCs w:val="18"/>
                                <w:lang w:val="sv-SE"/>
                              </w:rPr>
                            </m:ctrlPr>
                          </m:e>
                          <m:sub>
                            <m:r>
                              <m:rPr>
                                <m:nor/>
                                <m:sty m:val="p"/>
                              </m:rPr>
                              <w:rPr>
                                <w:rFonts w:ascii="Cambria Math" w:hAnsi="Cambria Math"/>
                                <w:b w:val="0"/>
                                <w:i w:val="0"/>
                                <w:sz w:val="18"/>
                                <w:szCs w:val="18"/>
                                <w:lang w:val="en-US"/>
                              </w:rPr>
                              <m:t>TC</m:t>
                            </m:r>
                            <m:ctrlPr>
                              <w:rPr>
                                <w:rFonts w:ascii="Cambria Math" w:hAnsi="Cambria Math" w:eastAsiaTheme="minorHAnsi"/>
                                <w:i/>
                                <w:sz w:val="18"/>
                                <w:szCs w:val="18"/>
                                <w:lang w:val="sv-SE"/>
                              </w:rPr>
                            </m:ctrlPr>
                          </m:sub>
                        </m:sSub>
                        <m:sSub>
                          <m:sSubPr>
                            <m:ctrlPr>
                              <w:rPr>
                                <w:rFonts w:ascii="Cambria Math" w:hAnsi="Cambria Math" w:eastAsiaTheme="minorHAnsi"/>
                                <w:i/>
                                <w:sz w:val="18"/>
                                <w:szCs w:val="18"/>
                                <w:lang w:val="sv-SE"/>
                              </w:rPr>
                            </m:ctrlPr>
                          </m:sSubPr>
                          <m:e>
                            <m:r>
                              <w:rPr>
                                <w:rFonts w:ascii="Cambria Math" w:hAnsi="Cambria Math" w:eastAsiaTheme="minorHAnsi"/>
                                <w:sz w:val="18"/>
                                <w:szCs w:val="18"/>
                                <w:lang w:val="sv-SE"/>
                              </w:rPr>
                              <m:t>P</m:t>
                            </m:r>
                            <m:ctrlPr>
                              <w:rPr>
                                <w:rFonts w:ascii="Cambria Math" w:hAnsi="Cambria Math" w:eastAsiaTheme="minorHAnsi"/>
                                <w:i/>
                                <w:sz w:val="18"/>
                                <w:szCs w:val="18"/>
                                <w:lang w:val="sv-SE"/>
                              </w:rPr>
                            </m:ctrlPr>
                          </m:e>
                          <m:sub>
                            <m:r>
                              <m:rPr>
                                <m:nor/>
                                <m:sty m:val="p"/>
                              </m:rPr>
                              <w:rPr>
                                <w:rFonts w:ascii="Cambria Math" w:hAnsi="Cambria Math" w:eastAsiaTheme="minorHAnsi"/>
                                <w:b w:val="0"/>
                                <w:i w:val="0"/>
                                <w:sz w:val="18"/>
                                <w:szCs w:val="18"/>
                                <w:lang w:val="en-US"/>
                              </w:rPr>
                              <m:t>F</m:t>
                            </m:r>
                            <m:ctrlPr>
                              <w:rPr>
                                <w:rFonts w:ascii="Cambria Math" w:hAnsi="Cambria Math" w:eastAsiaTheme="minorHAnsi"/>
                                <w:i/>
                                <w:sz w:val="18"/>
                                <w:szCs w:val="18"/>
                                <w:lang w:val="sv-SE"/>
                              </w:rPr>
                            </m:ctrlPr>
                          </m:sub>
                        </m:sSub>
                        <m:r>
                          <w:rPr>
                            <w:rFonts w:ascii="Cambria Math" w:hAnsi="Cambria Math" w:eastAsiaTheme="minorHAnsi"/>
                            <w:sz w:val="18"/>
                            <w:szCs w:val="18"/>
                            <w:lang w:val="en-US"/>
                          </w:rPr>
                          <m:t xml:space="preserve"> </m:t>
                        </m:r>
                        <m:ctrlPr>
                          <w:rPr>
                            <w:rFonts w:ascii="Cambria Math" w:hAnsi="Cambria Math" w:eastAsiaTheme="minorHAnsi"/>
                            <w:i/>
                            <w:sz w:val="18"/>
                            <w:szCs w:val="18"/>
                            <w:lang w:val="sv-SE"/>
                          </w:rPr>
                        </m:ctrlPr>
                      </m:e>
                    </m:d>
                    <m:ctrlPr>
                      <w:rPr>
                        <w:rFonts w:ascii="Cambria Math" w:hAnsi="Cambria Math" w:eastAsiaTheme="minorHAnsi"/>
                        <w:i/>
                        <w:sz w:val="18"/>
                        <w:szCs w:val="18"/>
                        <w:lang w:val="sv-SE"/>
                      </w:rPr>
                    </m:ctrlPr>
                  </m:den>
                </m:f>
              </m:oMath>
            </m:oMathPara>
          </w:p>
          <w:p>
            <w:pPr>
              <w:widowControl w:val="0"/>
              <w:rPr>
                <w:rFonts w:eastAsia="MS Mincho"/>
                <w:sz w:val="18"/>
                <w:szCs w:val="18"/>
                <w:lang w:eastAsia="ja-JP"/>
              </w:rPr>
            </w:pPr>
            <w:r>
              <w:rPr>
                <w:rFonts w:eastAsia="MS Mincho"/>
                <w:sz w:val="18"/>
                <w:szCs w:val="18"/>
                <w:lang w:eastAsia="ja-JP"/>
              </w:rPr>
              <w:t>where</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SRS</m:t>
                  </m:r>
                  <m:r>
                    <w:rPr>
                      <w:rFonts w:ascii="Cambria Math" w:hAnsi="Cambria Math"/>
                      <w:sz w:val="18"/>
                      <w:szCs w:val="18"/>
                    </w:rPr>
                    <m:t>,b</m:t>
                  </m:r>
                  <m:ctrlPr>
                    <w:rPr>
                      <w:rFonts w:ascii="Cambria Math" w:hAnsi="Cambria Math"/>
                      <w:i/>
                      <w:sz w:val="18"/>
                      <w:szCs w:val="18"/>
                    </w:rPr>
                  </m:ctrlPr>
                </m:sub>
              </m:sSub>
            </m:oMath>
            <w:r>
              <w:rPr>
                <w:sz w:val="18"/>
                <w:szCs w:val="18"/>
              </w:rPr>
              <w:t xml:space="preserve"> </w:t>
            </w:r>
            <w:r>
              <w:rPr>
                <w:rFonts w:eastAsia="MS Mincho"/>
                <w:sz w:val="18"/>
                <w:szCs w:val="18"/>
                <w:lang w:eastAsia="ja-JP"/>
              </w:rPr>
              <w:t xml:space="preserve">is given by a selected row of Table 6.4.1.4.3-1 with </w:t>
            </w:r>
            <w:r>
              <w:rPr>
                <w:position w:val="-10"/>
                <w:sz w:val="18"/>
                <w:szCs w:val="18"/>
                <w:lang w:eastAsia="zh-CN"/>
              </w:rPr>
              <w:object>
                <v:shape id="_x0000_i1030" o:spt="75" type="#_x0000_t75" style="height:15.15pt;width:34.1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sz w:val="18"/>
                <w:szCs w:val="18"/>
                <w:lang w:eastAsia="zh-CN"/>
              </w:rPr>
              <w:t xml:space="preserve"> where </w:t>
            </w:r>
            <w:r>
              <w:rPr>
                <w:position w:val="-10"/>
                <w:sz w:val="18"/>
                <w:szCs w:val="18"/>
                <w:lang w:eastAsia="zh-CN"/>
              </w:rPr>
              <w:object>
                <v:shape id="_x0000_i1031" o:spt="75" type="#_x0000_t75" style="height:15.15pt;width:64.4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sz w:val="18"/>
                <w:szCs w:val="18"/>
                <w:lang w:eastAsia="zh-CN"/>
              </w:rPr>
              <w:t xml:space="preserve"> is given by the field </w:t>
            </w:r>
            <w:r>
              <w:rPr>
                <w:i/>
                <w:sz w:val="18"/>
                <w:szCs w:val="18"/>
                <w:lang w:eastAsia="zh-CN"/>
              </w:rPr>
              <w:t>b-SRS</w:t>
            </w:r>
            <w:r>
              <w:rPr>
                <w:sz w:val="18"/>
                <w:szCs w:val="18"/>
                <w:lang w:eastAsia="zh-CN"/>
              </w:rPr>
              <w:t xml:space="preserve"> contained in the higher-layer parameter </w:t>
            </w:r>
            <w:r>
              <w:rPr>
                <w:i/>
                <w:sz w:val="18"/>
                <w:szCs w:val="18"/>
                <w:lang w:eastAsia="zh-CN"/>
              </w:rPr>
              <w:t>freqHopping</w:t>
            </w:r>
            <w:r>
              <w:rPr>
                <w:sz w:val="18"/>
                <w:szCs w:val="18"/>
                <w:lang w:eastAsia="zh-CN"/>
              </w:rPr>
              <w:t xml:space="preserve"> if configured, otherwise </w:t>
            </w:r>
            <m:oMath>
              <m:sSub>
                <m:sSubPr>
                  <m:ctrlPr>
                    <w:rPr>
                      <w:rFonts w:ascii="Cambria Math" w:hAnsi="Cambria Math"/>
                      <w:i/>
                      <w:sz w:val="18"/>
                      <w:szCs w:val="18"/>
                      <w:lang w:eastAsia="zh-CN"/>
                    </w:rPr>
                  </m:ctrlPr>
                </m:sSubPr>
                <m:e>
                  <m:r>
                    <w:rPr>
                      <w:rFonts w:ascii="Cambria Math" w:hAnsi="Cambria Math"/>
                      <w:sz w:val="18"/>
                      <w:szCs w:val="18"/>
                      <w:lang w:eastAsia="zh-CN"/>
                    </w:rPr>
                    <m:t>B</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SRS</m:t>
                  </m:r>
                  <m:ctrlPr>
                    <w:rPr>
                      <w:rFonts w:ascii="Cambria Math" w:hAnsi="Cambria Math"/>
                      <w:i/>
                      <w:sz w:val="18"/>
                      <w:szCs w:val="18"/>
                      <w:lang w:eastAsia="zh-CN"/>
                    </w:rPr>
                  </m:ctrlPr>
                </m:sub>
              </m:sSub>
              <m:r>
                <w:rPr>
                  <w:rFonts w:ascii="Cambria Math" w:hAnsi="Cambria Math"/>
                  <w:sz w:val="18"/>
                  <w:szCs w:val="18"/>
                  <w:lang w:eastAsia="zh-CN"/>
                </w:rPr>
                <m:t>=0</m:t>
              </m:r>
            </m:oMath>
            <w:r>
              <w:rPr>
                <w:sz w:val="18"/>
                <w:szCs w:val="18"/>
                <w:lang w:eastAsia="zh-CN"/>
              </w:rPr>
              <w:t xml:space="preserve">. The row of the table is selected according to the index </w:t>
            </w:r>
            <w:r>
              <w:rPr>
                <w:position w:val="-10"/>
                <w:sz w:val="18"/>
                <w:szCs w:val="18"/>
                <w:lang w:eastAsia="zh-CN"/>
              </w:rPr>
              <w:object>
                <v:shape id="_x0000_i1032" o:spt="75" type="#_x0000_t75" style="height:15.15pt;width:72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sz w:val="18"/>
                <w:szCs w:val="18"/>
                <w:lang w:eastAsia="zh-CN"/>
              </w:rPr>
              <w:t xml:space="preserve"> given by the field </w:t>
            </w:r>
            <w:r>
              <w:rPr>
                <w:i/>
                <w:sz w:val="18"/>
                <w:szCs w:val="18"/>
                <w:lang w:eastAsia="zh-CN"/>
              </w:rPr>
              <w:t>c-SRS</w:t>
            </w:r>
            <w:r>
              <w:rPr>
                <w:sz w:val="18"/>
                <w:szCs w:val="18"/>
                <w:lang w:eastAsia="zh-CN"/>
              </w:rPr>
              <w:t xml:space="preserve"> contained in the higher-layer parameter </w:t>
            </w:r>
            <w:r>
              <w:rPr>
                <w:i/>
                <w:sz w:val="18"/>
                <w:szCs w:val="18"/>
                <w:lang w:eastAsia="zh-CN"/>
              </w:rPr>
              <w:t>freqHopping</w:t>
            </w:r>
            <w:r>
              <w:rPr>
                <w:rFonts w:eastAsia="MS Mincho"/>
                <w:sz w:val="18"/>
                <w:szCs w:val="18"/>
                <w:lang w:eastAsia="ja-JP"/>
              </w:rPr>
              <w:t xml:space="preserve">. </w:t>
            </w:r>
            <w:r>
              <w:rPr>
                <w:sz w:val="18"/>
                <w:szCs w:val="18"/>
                <w:lang w:eastAsia="zh-CN"/>
              </w:rPr>
              <w:t xml:space="preserve">The quantity </w:t>
            </w:r>
            <m:oMath>
              <m:sSub>
                <m:sSubPr>
                  <m:ctrlPr>
                    <w:rPr>
                      <w:rFonts w:ascii="Cambria Math" w:hAnsi="Cambria Math"/>
                      <w:sz w:val="18"/>
                      <w:szCs w:val="18"/>
                      <w:lang w:eastAsia="zh-CN"/>
                    </w:rPr>
                  </m:ctrlPr>
                </m:sSubPr>
                <m:e>
                  <m:r>
                    <w:rPr>
                      <w:rFonts w:ascii="Cambria Math" w:hAnsi="Cambria Math"/>
                      <w:sz w:val="18"/>
                      <w:szCs w:val="18"/>
                      <w:lang w:eastAsia="zh-CN"/>
                    </w:rPr>
                    <m:t>P</m:t>
                  </m:r>
                  <m:ctrlPr>
                    <w:rPr>
                      <w:rFonts w:ascii="Cambria Math" w:hAnsi="Cambria Math"/>
                      <w:sz w:val="18"/>
                      <w:szCs w:val="18"/>
                      <w:lang w:eastAsia="zh-CN"/>
                    </w:rPr>
                  </m:ctrlPr>
                </m:e>
                <m:sub>
                  <m:r>
                    <m:rPr>
                      <m:nor/>
                      <m:sty m:val="p"/>
                    </m:rPr>
                    <w:rPr>
                      <w:rFonts w:ascii="Cambria Math" w:hAnsi="Cambria Math"/>
                      <w:b w:val="0"/>
                      <w:i w:val="0"/>
                      <w:sz w:val="18"/>
                      <w:szCs w:val="18"/>
                      <w:lang w:eastAsia="zh-CN"/>
                    </w:rPr>
                    <m:t>F</m:t>
                  </m:r>
                  <m:ctrlPr>
                    <w:rPr>
                      <w:rFonts w:ascii="Cambria Math" w:hAnsi="Cambria Math"/>
                      <w:sz w:val="18"/>
                      <w:szCs w:val="18"/>
                      <w:lang w:eastAsia="zh-CN"/>
                    </w:rPr>
                  </m:ctrlPr>
                </m:sub>
              </m:sSub>
              <m:r>
                <w:rPr>
                  <w:rFonts w:ascii="Cambria Math" w:hAnsi="Cambria Math"/>
                  <w:color w:val="FF0000"/>
                  <w:sz w:val="18"/>
                  <w:szCs w:val="18"/>
                  <w:lang w:eastAsia="zh-CN"/>
                </w:rPr>
                <m:t>∈{2,4}</m:t>
              </m:r>
            </m:oMath>
            <w:r>
              <w:rPr>
                <w:sz w:val="18"/>
                <w:szCs w:val="18"/>
                <w:lang w:eastAsia="zh-CN"/>
              </w:rPr>
              <w:t xml:space="preserve"> is given by the higher-layer parameter </w:t>
            </w:r>
            <w:r>
              <w:rPr>
                <w:i/>
                <w:iCs/>
                <w:sz w:val="18"/>
                <w:szCs w:val="18"/>
                <w:lang w:eastAsia="zh-CN"/>
              </w:rPr>
              <w:t>FreqScalingFactor</w:t>
            </w:r>
            <w:r>
              <w:rPr>
                <w:sz w:val="18"/>
                <w:szCs w:val="18"/>
                <w:lang w:eastAsia="zh-CN"/>
              </w:rPr>
              <w:t xml:space="preserve"> if configured, otherwise </w:t>
            </w:r>
            <m:oMath>
              <m:sSub>
                <m:sSubPr>
                  <m:ctrlPr>
                    <w:rPr>
                      <w:rFonts w:ascii="Cambria Math" w:hAnsi="Cambria Math"/>
                      <w:sz w:val="18"/>
                      <w:szCs w:val="18"/>
                      <w:lang w:eastAsia="zh-CN"/>
                    </w:rPr>
                  </m:ctrlPr>
                </m:sSubPr>
                <m:e>
                  <m:r>
                    <w:rPr>
                      <w:rFonts w:ascii="Cambria Math" w:hAnsi="Cambria Math"/>
                      <w:sz w:val="18"/>
                      <w:szCs w:val="18"/>
                      <w:lang w:eastAsia="zh-CN"/>
                    </w:rPr>
                    <m:t>P</m:t>
                  </m:r>
                  <m:ctrlPr>
                    <w:rPr>
                      <w:rFonts w:ascii="Cambria Math" w:hAnsi="Cambria Math"/>
                      <w:sz w:val="18"/>
                      <w:szCs w:val="18"/>
                      <w:lang w:eastAsia="zh-CN"/>
                    </w:rPr>
                  </m:ctrlPr>
                </m:e>
                <m:sub>
                  <m:r>
                    <m:rPr>
                      <m:nor/>
                      <m:sty m:val="p"/>
                    </m:rPr>
                    <w:rPr>
                      <w:rFonts w:ascii="Cambria Math" w:hAnsi="Cambria Math"/>
                      <w:b w:val="0"/>
                      <w:i w:val="0"/>
                      <w:sz w:val="18"/>
                      <w:szCs w:val="18"/>
                      <w:lang w:eastAsia="zh-CN"/>
                    </w:rPr>
                    <m:t>F</m:t>
                  </m:r>
                  <m:ctrlPr>
                    <w:rPr>
                      <w:rFonts w:ascii="Cambria Math" w:hAnsi="Cambria Math"/>
                      <w:sz w:val="18"/>
                      <w:szCs w:val="18"/>
                      <w:lang w:eastAsia="zh-CN"/>
                    </w:rPr>
                  </m:ctrlPr>
                </m:sub>
              </m:sSub>
              <m:r>
                <m:rPr>
                  <m:sty m:val="p"/>
                </m:rPr>
                <w:rPr>
                  <w:rFonts w:ascii="Cambria Math" w:hAnsi="Cambria Math"/>
                  <w:sz w:val="18"/>
                  <w:szCs w:val="18"/>
                  <w:lang w:eastAsia="zh-CN"/>
                </w:rPr>
                <m:t>=1</m:t>
              </m:r>
            </m:oMath>
            <w:r>
              <w:rPr>
                <w:sz w:val="18"/>
                <w:szCs w:val="18"/>
                <w:lang w:eastAsia="zh-CN"/>
              </w:rPr>
              <w:t xml:space="preserve">. When </w:t>
            </w:r>
            <w:r>
              <w:rPr>
                <w:i/>
                <w:iCs/>
                <w:sz w:val="18"/>
                <w:szCs w:val="18"/>
                <w:lang w:eastAsia="zh-CN"/>
              </w:rPr>
              <w:t>FreqScalingFactor</w:t>
            </w:r>
            <w:r>
              <w:rPr>
                <w:sz w:val="18"/>
                <w:szCs w:val="18"/>
                <w:lang w:eastAsia="zh-CN"/>
              </w:rPr>
              <w:t xml:space="preserve"> is configured, the UE expects the length of the SRS sequence to be a multiple of 6.</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color w:val="3333FF"/>
                <w:sz w:val="18"/>
                <w:szCs w:val="18"/>
                <w:lang w:val="en-GB" w:eastAsia="zh-CN"/>
              </w:rPr>
            </w:pPr>
            <w:r>
              <w:rPr>
                <w:rFonts w:eastAsiaTheme="minorEastAsia"/>
                <w:color w:val="FF0000"/>
                <w:sz w:val="18"/>
                <w:szCs w:val="18"/>
                <w:lang w:val="en-US" w:eastAsia="zh-CN"/>
              </w:rPr>
              <w:t>&lt;End of TP for TS38.21</w:t>
            </w:r>
            <w:r>
              <w:rPr>
                <w:rFonts w:hint="eastAsia" w:eastAsiaTheme="minorEastAsia"/>
                <w:color w:val="FF0000"/>
                <w:sz w:val="18"/>
                <w:szCs w:val="18"/>
                <w:lang w:val="en-US" w:eastAsia="zh-CN"/>
              </w:rPr>
              <w:t>1</w:t>
            </w:r>
            <w:r>
              <w:rPr>
                <w:rFonts w:eastAsiaTheme="minorEastAsia"/>
                <w:color w:val="FF0000"/>
                <w:sz w:val="18"/>
                <w:szCs w:val="18"/>
                <w:lang w:val="en-US" w:eastAsia="zh-CN"/>
              </w:rPr>
              <w:t>&gt;</w:t>
            </w:r>
          </w:p>
        </w:tc>
      </w:tr>
    </w:tbl>
    <w:p>
      <w:pPr>
        <w:bidi w:val="0"/>
      </w:pPr>
    </w:p>
    <w:p>
      <w:pPr>
        <w:bidi w:val="0"/>
      </w:pPr>
    </w:p>
    <w:p>
      <w:pPr>
        <w:pStyle w:val="4"/>
        <w:bidi w:val="0"/>
        <w:rPr>
          <w:rFonts w:hint="default"/>
          <w:lang w:val="en-US" w:eastAsia="zh-CN"/>
        </w:rPr>
      </w:pPr>
      <w:r>
        <w:rPr>
          <w:b/>
          <w:bCs/>
          <w:lang w:eastAsia="zh-CN"/>
        </w:rPr>
        <w:t>TP#</w:t>
      </w:r>
      <w:r>
        <w:rPr>
          <w:rFonts w:hint="eastAsia"/>
          <w:b/>
          <w:bCs/>
          <w:lang w:val="en-US" w:eastAsia="zh-CN"/>
        </w:rPr>
        <w:t>3-3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Reason of change:</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When R is larger than 2, the wording “pair” is conflicting with R&gt;2 adjacent OFDM symbols since a pair of symbols indicates two symbols.</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US" w:eastAsia="zh-CN"/>
        </w:rPr>
        <w:t>Summary of change</w:t>
      </w:r>
      <w:r>
        <w:rPr>
          <w:rFonts w:hint="default"/>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Change “pair” to “set” to avoid the confliction between “pair” and R adjacent symbols</w:t>
      </w:r>
      <w:r>
        <w:rPr>
          <w:rFonts w:hint="eastAsia" w:ascii="Times New Roman" w:hAnsi="Times New Roman" w:cs="Times New Roman"/>
          <w:sz w:val="18"/>
          <w:szCs w:val="18"/>
          <w:lang w:val="en-US" w:eastAsia="zh-CN"/>
        </w:rPr>
        <w:t xml:space="preserve"> in TS38.214</w:t>
      </w:r>
      <w:r>
        <w:rPr>
          <w:rFonts w:hint="default" w:ascii="Times New Roman" w:hAnsi="Times New Roman" w:cs="Times New Roman"/>
          <w:sz w:val="18"/>
          <w:szCs w:val="18"/>
          <w:lang w:val="en-US" w:eastAsia="zh-CN"/>
        </w:rPr>
        <w:t>.</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 xml:space="preserve">Consequence </w:t>
      </w:r>
      <w:r>
        <w:rPr>
          <w:rFonts w:hint="default"/>
          <w:b/>
          <w:bCs/>
          <w:sz w:val="18"/>
          <w:szCs w:val="18"/>
          <w:u w:val="single"/>
          <w:lang w:val="en-US" w:eastAsia="zh-CN"/>
        </w:rPr>
        <w:t>if not approved</w:t>
      </w:r>
      <w:r>
        <w:rPr>
          <w:rFonts w:hint="default"/>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The wording is conflicting with itself </w:t>
      </w:r>
      <w:r>
        <w:rPr>
          <w:rFonts w:hint="eastAsia" w:ascii="Times New Roman" w:hAnsi="Times New Roman" w:cs="Times New Roman"/>
          <w:sz w:val="18"/>
          <w:szCs w:val="18"/>
          <w:lang w:val="en-US" w:eastAsia="zh-CN"/>
        </w:rPr>
        <w:t>in TS38.214</w:t>
      </w:r>
      <w:r>
        <w:rPr>
          <w:rFonts w:hint="default" w:ascii="Times New Roman" w:hAnsi="Times New Roman" w:cs="Times New Roman"/>
          <w:sz w:val="18"/>
          <w:szCs w:val="18"/>
          <w:lang w:val="en-US" w:eastAsia="zh-CN"/>
        </w:rPr>
        <w:t>.</w:t>
      </w:r>
    </w:p>
    <w:p>
      <w:pPr>
        <w:rPr>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3-3</w:t>
      </w:r>
      <w:r>
        <w:rPr>
          <w:b/>
          <w:bCs/>
          <w:sz w:val="18"/>
          <w:szCs w:val="18"/>
          <w:lang w:eastAsia="zh-CN"/>
        </w:rPr>
        <w:t xml:space="preserve">: </w:t>
      </w:r>
      <w:r>
        <w:rPr>
          <w:rFonts w:hint="eastAsia"/>
          <w:b/>
          <w:bCs/>
          <w:sz w:val="18"/>
          <w:szCs w:val="18"/>
          <w:lang w:eastAsia="zh-CN"/>
        </w:rPr>
        <w:t>SRS frequency hopping</w:t>
      </w:r>
    </w:p>
    <w:tbl>
      <w:tblPr>
        <w:tblStyle w:val="18"/>
        <w:tblW w:w="10033" w:type="dxa"/>
        <w:tblInd w:w="0" w:type="dxa"/>
        <w:tblLayout w:type="fixed"/>
        <w:tblCellMar>
          <w:top w:w="0" w:type="dxa"/>
          <w:left w:w="10" w:type="dxa"/>
          <w:bottom w:w="0" w:type="dxa"/>
          <w:right w:w="10" w:type="dxa"/>
        </w:tblCellMar>
      </w:tblPr>
      <w:tblGrid>
        <w:gridCol w:w="10033"/>
      </w:tblGrid>
      <w:tr>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2.1.1</w:t>
            </w:r>
            <w:r>
              <w:rPr>
                <w:b/>
                <w:sz w:val="18"/>
                <w:szCs w:val="18"/>
                <w:lang w:eastAsia="zh-CN"/>
              </w:rPr>
              <w:tab/>
            </w:r>
            <w:r>
              <w:rPr>
                <w:rFonts w:hint="eastAsia"/>
                <w:b/>
                <w:sz w:val="18"/>
                <w:szCs w:val="18"/>
                <w:lang w:eastAsia="zh-CN"/>
              </w:rPr>
              <w:t>UE SRS frequency hopping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spacing w:after="180"/>
              <w:rPr>
                <w:rFonts w:eastAsia="宋体"/>
                <w:color w:val="000000"/>
                <w:sz w:val="18"/>
                <w:szCs w:val="13"/>
                <w:lang w:val="en-GB"/>
              </w:rPr>
            </w:pPr>
            <w:r>
              <w:rPr>
                <w:rFonts w:eastAsia="宋体"/>
                <w:color w:val="000000"/>
                <w:sz w:val="18"/>
                <w:szCs w:val="13"/>
                <w:lang w:eastAsia="zh-CN"/>
              </w:rPr>
              <w:t>F</w:t>
            </w:r>
            <w:r>
              <w:rPr>
                <w:rFonts w:eastAsia="宋体"/>
                <w:color w:val="000000"/>
                <w:sz w:val="18"/>
                <w:szCs w:val="13"/>
                <w:lang w:val="en-GB"/>
              </w:rPr>
              <w:t xml:space="preserve">or a given SRS resource, the UE is configured with repetition factor R∈{1,2,4} or R∈{1,2,3,4,5,6,7,8,10,12,14} by higher layer parameter </w:t>
            </w:r>
            <w:r>
              <w:rPr>
                <w:rFonts w:eastAsia="宋体"/>
                <w:i/>
                <w:color w:val="000000"/>
                <w:sz w:val="18"/>
                <w:szCs w:val="13"/>
                <w:lang w:val="en-GB"/>
              </w:rPr>
              <w:t xml:space="preserve">resourceMapping </w:t>
            </w:r>
            <w:r>
              <w:rPr>
                <w:rFonts w:eastAsia="宋体"/>
                <w:color w:val="000000"/>
                <w:sz w:val="18"/>
                <w:szCs w:val="13"/>
                <w:lang w:val="en-GB"/>
              </w:rPr>
              <w:t>in</w:t>
            </w:r>
            <w:r>
              <w:rPr>
                <w:rFonts w:eastAsia="宋体"/>
                <w:i/>
                <w:color w:val="000000"/>
                <w:sz w:val="18"/>
                <w:szCs w:val="13"/>
                <w:lang w:val="en-GB"/>
              </w:rPr>
              <w:t xml:space="preserve"> SRS-Resource</w:t>
            </w:r>
            <w:r>
              <w:rPr>
                <w:rFonts w:eastAsia="宋体"/>
                <w:color w:val="000000"/>
                <w:sz w:val="18"/>
                <w:szCs w:val="13"/>
                <w:lang w:val="en-GB"/>
              </w:rPr>
              <w:t xml:space="preserve"> where </w:t>
            </w:r>
            <w:r>
              <w:rPr>
                <w:rFonts w:eastAsia="宋体"/>
                <w:i/>
                <w:color w:val="000000"/>
                <w:sz w:val="18"/>
                <w:szCs w:val="13"/>
                <w:lang w:val="en-GB"/>
              </w:rPr>
              <w:t>R</w:t>
            </w:r>
            <w:r>
              <w:rPr>
                <w:rFonts w:eastAsia="宋体"/>
                <w:color w:val="000000"/>
                <w:sz w:val="18"/>
                <w:szCs w:val="13"/>
                <w:lang w:val="en-GB"/>
              </w:rPr>
              <w:t>≤</w:t>
            </w:r>
            <w:r>
              <w:rPr>
                <w:rFonts w:eastAsia="宋体"/>
                <w:i/>
                <w:color w:val="000000"/>
                <w:sz w:val="18"/>
                <w:szCs w:val="13"/>
                <w:lang w:val="en-GB"/>
              </w:rPr>
              <w:t>N</w:t>
            </w:r>
            <w:r>
              <w:rPr>
                <w:rFonts w:eastAsia="宋体"/>
                <w:i/>
                <w:color w:val="000000"/>
                <w:sz w:val="18"/>
                <w:szCs w:val="13"/>
                <w:vertAlign w:val="subscript"/>
                <w:lang w:val="en-GB"/>
              </w:rPr>
              <w:t>s</w:t>
            </w:r>
            <w:r>
              <w:rPr>
                <w:rFonts w:eastAsia="宋体"/>
                <w:color w:val="000000"/>
                <w:sz w:val="18"/>
                <w:szCs w:val="13"/>
                <w:lang w:val="en-GB"/>
              </w:rPr>
              <w:t>. When frequency hopping within an SRS resource in each slot is not configured (</w:t>
            </w:r>
            <w:r>
              <w:rPr>
                <w:rFonts w:eastAsia="宋体"/>
                <w:i/>
                <w:color w:val="000000"/>
                <w:sz w:val="18"/>
                <w:szCs w:val="13"/>
                <w:lang w:val="en-GB"/>
              </w:rPr>
              <w:t>R=N</w:t>
            </w:r>
            <w:r>
              <w:rPr>
                <w:rFonts w:eastAsia="宋体"/>
                <w:i/>
                <w:color w:val="000000"/>
                <w:sz w:val="18"/>
                <w:szCs w:val="13"/>
                <w:vertAlign w:val="subscript"/>
                <w:lang w:val="en-GB"/>
              </w:rPr>
              <w:t>s</w:t>
            </w:r>
            <w:r>
              <w:rPr>
                <w:rFonts w:eastAsia="宋体"/>
                <w:color w:val="000000"/>
                <w:sz w:val="18"/>
                <w:szCs w:val="13"/>
                <w:lang w:val="en-GB"/>
              </w:rPr>
              <w:t xml:space="preserve">), each of the antenna ports of the SRS resource in each slot is mapped in all the </w:t>
            </w:r>
            <w:r>
              <w:rPr>
                <w:rFonts w:eastAsia="宋体"/>
                <w:color w:val="000000"/>
                <w:position w:val="-10"/>
                <w:sz w:val="18"/>
                <w:szCs w:val="13"/>
                <w:lang w:val="en-GB"/>
              </w:rPr>
              <w:object>
                <v:shape id="_x0000_i1033" o:spt="75" type="#_x0000_t75" style="height:15.15pt;width:15.1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eastAsia="宋体"/>
                <w:color w:val="000000"/>
                <w:sz w:val="18"/>
                <w:szCs w:val="13"/>
                <w:lang w:val="en-GB"/>
              </w:rPr>
              <w:t xml:space="preserve"> symbols to the same set of subcarriers in the same set of PRBs. When frequency hopping within an SRS resource in each slot is configured without repetition (</w:t>
            </w:r>
            <w:r>
              <w:rPr>
                <w:rFonts w:eastAsia="宋体"/>
                <w:i/>
                <w:color w:val="000000"/>
                <w:sz w:val="18"/>
                <w:szCs w:val="13"/>
                <w:lang w:val="en-GB"/>
              </w:rPr>
              <w:t>R=1</w:t>
            </w:r>
            <w:r>
              <w:rPr>
                <w:rFonts w:eastAsia="宋体"/>
                <w:color w:val="000000"/>
                <w:sz w:val="18"/>
                <w:szCs w:val="13"/>
                <w:lang w:val="en-GB"/>
              </w:rPr>
              <w:t xml:space="preserve">), according to the SRS hopping parameters </w:t>
            </w:r>
            <w:r>
              <w:rPr>
                <w:rFonts w:eastAsia="宋体"/>
                <w:color w:val="000000"/>
                <w:position w:val="-10"/>
                <w:sz w:val="18"/>
                <w:szCs w:val="13"/>
                <w:lang w:val="en-GB"/>
              </w:rPr>
              <w:object>
                <v:shape id="_x0000_i1034" o:spt="75" type="#_x0000_t75" style="height:15.15pt;width:23.0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eastAsia="宋体"/>
                <w:color w:val="000000"/>
                <w:sz w:val="18"/>
                <w:szCs w:val="13"/>
                <w:lang w:val="en-GB"/>
              </w:rPr>
              <w:t xml:space="preserve">, </w:t>
            </w:r>
            <w:r>
              <w:rPr>
                <w:rFonts w:eastAsia="宋体"/>
                <w:color w:val="000000"/>
                <w:position w:val="-10"/>
                <w:sz w:val="18"/>
                <w:szCs w:val="13"/>
                <w:lang w:val="en-GB"/>
              </w:rPr>
              <w:object>
                <v:shape id="_x0000_i1035" o:spt="75" type="#_x0000_t75" style="height:15.15pt;width:23.05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eastAsia="宋体"/>
                <w:color w:val="000000"/>
                <w:sz w:val="18"/>
                <w:szCs w:val="13"/>
                <w:lang w:val="en-GB"/>
              </w:rPr>
              <w:t xml:space="preserve">and </w:t>
            </w:r>
            <w:r>
              <w:rPr>
                <w:rFonts w:eastAsia="宋体"/>
                <w:color w:val="000000"/>
                <w:position w:val="-14"/>
                <w:sz w:val="18"/>
                <w:szCs w:val="13"/>
                <w:lang w:val="en-GB"/>
              </w:rPr>
              <w:object>
                <v:shape id="_x0000_i1036" o:spt="75" type="#_x0000_t75" style="height:15.15pt;width:23.05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r>
              <w:rPr>
                <w:rFonts w:eastAsia="宋体"/>
                <w:color w:val="000000"/>
                <w:sz w:val="18"/>
                <w:szCs w:val="13"/>
                <w:lang w:val="en-GB"/>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 R</w:t>
            </w:r>
            <w:r>
              <w:rPr>
                <w:rFonts w:eastAsia="宋体"/>
                <w:iCs/>
                <w:color w:val="000000"/>
                <w:sz w:val="18"/>
                <w:szCs w:val="13"/>
                <w:lang w:val="en-GB"/>
              </w:rPr>
              <w:t xml:space="preserve"> ≥ </w:t>
            </w:r>
            <w:r>
              <w:rPr>
                <w:rFonts w:eastAsia="宋体"/>
                <w:i/>
                <w:color w:val="000000"/>
                <w:sz w:val="18"/>
                <w:szCs w:val="13"/>
                <w:lang w:val="en-GB"/>
              </w:rPr>
              <w:t>2</w:t>
            </w:r>
            <w:r>
              <w:rPr>
                <w:rFonts w:eastAsia="宋体"/>
                <w:color w:val="000000"/>
                <w:sz w:val="18"/>
                <w:szCs w:val="13"/>
                <w:lang w:val="en-GB"/>
              </w:rPr>
              <w:t xml:space="preserve">), each of the antenna ports of the SRS resource in each slot is mapped to the same set of subcarriers within each </w:t>
            </w:r>
            <w:r>
              <w:rPr>
                <w:rFonts w:eastAsia="宋体"/>
                <w:strike/>
                <w:color w:val="FF0000"/>
                <w:sz w:val="18"/>
                <w:szCs w:val="13"/>
                <w:lang w:val="en-GB"/>
              </w:rPr>
              <w:t xml:space="preserve">pair </w:t>
            </w:r>
            <w:r>
              <w:rPr>
                <w:rFonts w:eastAsia="宋体"/>
                <w:color w:val="FF0000"/>
                <w:sz w:val="18"/>
                <w:szCs w:val="13"/>
                <w:lang w:val="en-GB"/>
              </w:rPr>
              <w:t xml:space="preserve">set </w:t>
            </w:r>
            <w:r>
              <w:rPr>
                <w:rFonts w:eastAsia="宋体"/>
                <w:color w:val="000000"/>
                <w:sz w:val="18"/>
                <w:szCs w:val="13"/>
                <w:lang w:val="en-GB"/>
              </w:rPr>
              <w:t xml:space="preserve">of R adjacent OFDM symbols, and frequency hopping across the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10"/>
                <w:sz w:val="18"/>
                <w:szCs w:val="18"/>
              </w:rPr>
              <w:pict>
                <v:shape id="_x0000_i1037"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07EAE&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07EAE&quot; wsp:rsidP=&quot;00707EAE&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10"/>
                <w:sz w:val="18"/>
                <w:szCs w:val="18"/>
              </w:rPr>
              <w:pict>
                <v:shape id="_x0000_i1038"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07EAE&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707EAE&quot; wsp:rsidP=&quot;00707EAE&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w:t>
            </w:r>
            <w:r>
              <w:rPr>
                <w:rFonts w:eastAsia="宋体"/>
                <w:strike/>
                <w:color w:val="FF0000"/>
                <w:sz w:val="18"/>
                <w:szCs w:val="13"/>
                <w:lang w:val="en-GB"/>
              </w:rPr>
              <w:t xml:space="preserve">pairs </w:t>
            </w:r>
            <w:r>
              <w:rPr>
                <w:rFonts w:eastAsia="宋体"/>
                <w:color w:val="FF0000"/>
                <w:sz w:val="18"/>
                <w:szCs w:val="13"/>
                <w:lang w:val="en-GB"/>
              </w:rPr>
              <w:t xml:space="preserve">sets </w:t>
            </w:r>
            <w:r>
              <w:rPr>
                <w:rFonts w:eastAsia="宋体"/>
                <w:color w:val="000000"/>
                <w:sz w:val="18"/>
                <w:szCs w:val="13"/>
                <w:lang w:val="en-GB"/>
              </w:rPr>
              <w:t xml:space="preserve">is according to the SRS hopping parameters </w:t>
            </w:r>
            <w:r>
              <w:rPr>
                <w:rFonts w:eastAsia="宋体"/>
                <w:color w:val="000000"/>
                <w:position w:val="-10"/>
                <w:sz w:val="18"/>
                <w:szCs w:val="13"/>
                <w:lang w:val="en-GB"/>
              </w:rPr>
              <w:object>
                <v:shape id="_x0000_i1039" o:spt="75" type="#_x0000_t75" style="height:15.15pt;width:23.05pt;" o:ole="t" filled="f" o:preferrelative="t" stroked="f" coordsize="21600,21600">
                  <v:path/>
                  <v:fill on="f" focussize="0,0"/>
                  <v:stroke on="f" joinstyle="miter"/>
                  <v:imagedata r:id="rId23" o:title=""/>
                  <o:lock v:ext="edit" aspectratio="t"/>
                  <w10:wrap type="none"/>
                  <w10:anchorlock/>
                </v:shape>
                <o:OLEObject Type="Embed" ProgID="Equation.3" ShapeID="_x0000_i1039" DrawAspect="Content" ObjectID="_1468075737" r:id="rId29">
                  <o:LockedField>false</o:LockedField>
                </o:OLEObject>
              </w:object>
            </w:r>
            <w:r>
              <w:rPr>
                <w:rFonts w:eastAsia="宋体"/>
                <w:color w:val="000000"/>
                <w:sz w:val="18"/>
                <w:szCs w:val="13"/>
                <w:lang w:val="en-GB"/>
              </w:rPr>
              <w:t xml:space="preserve">, </w:t>
            </w:r>
            <w:r>
              <w:rPr>
                <w:rFonts w:eastAsia="宋体"/>
                <w:color w:val="000000"/>
                <w:position w:val="-10"/>
                <w:sz w:val="18"/>
                <w:szCs w:val="13"/>
                <w:lang w:val="en-GB"/>
              </w:rPr>
              <w:object>
                <v:shape id="_x0000_i1040" o:spt="75" type="#_x0000_t75" style="height:15.15pt;width:23.05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38" r:id="rId30">
                  <o:LockedField>false</o:LockedField>
                </o:OLEObject>
              </w:object>
            </w:r>
            <w:r>
              <w:rPr>
                <w:rFonts w:eastAsia="宋体"/>
                <w:color w:val="000000"/>
                <w:sz w:val="18"/>
                <w:szCs w:val="13"/>
                <w:lang w:val="en-GB"/>
              </w:rPr>
              <w:t xml:space="preserve">and </w:t>
            </w:r>
            <w:r>
              <w:rPr>
                <w:rFonts w:eastAsia="宋体"/>
                <w:color w:val="000000"/>
                <w:position w:val="-14"/>
                <w:sz w:val="18"/>
                <w:szCs w:val="13"/>
                <w:lang w:val="en-GB"/>
              </w:rPr>
              <w:object>
                <v:shape id="_x0000_i1041" o:spt="75" type="#_x0000_t75" style="height:15.15pt;width:23.05pt;" o:ole="t" filled="f" o:preferrelative="t" stroked="f" coordsize="21600,21600">
                  <v:path/>
                  <v:fill on="f" focussize="0,0"/>
                  <v:stroke on="f" joinstyle="miter"/>
                  <v:imagedata r:id="rId27" o:title=""/>
                  <o:lock v:ext="edit" aspectratio="t"/>
                  <w10:wrap type="none"/>
                  <w10:anchorlock/>
                </v:shape>
                <o:OLEObject Type="Embed" ProgID="Equation.3" ShapeID="_x0000_i1041" DrawAspect="Content" ObjectID="_1468075739" r:id="rId31">
                  <o:LockedField>false</o:LockedField>
                </o:OLEObject>
              </w:object>
            </w:r>
            <w:r>
              <w:rPr>
                <w:rFonts w:eastAsia="宋体"/>
                <w:color w:val="000000"/>
                <w:sz w:val="18"/>
                <w:szCs w:val="13"/>
                <w:lang w:val="en-GB"/>
              </w:rPr>
              <w:t xml:space="preserve">, where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2"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57E&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7657E&quot; wsp:rsidP=&quot;0087657E&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3"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57E&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87657E&quot; wsp:rsidP=&quot;0087657E&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should be divisible by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4" o:spt="75" type="#_x0000_t75" style="height:11.0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25BD&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D25BD&quot; wsp:rsidP=&quot;004D25BD&quot;&gt;&lt;m:oMathPara&gt;&lt;m:oMath&gt;&lt;m:r&gt;&lt;w:rPr&gt;&lt;w:rFonts w:ascii=&quot;Cambria Math&quot; w:fareast=&quot;_?&quot; w:h-ansi=&quot;Cambria Math&quot;/&gt;&lt;wx:font wx:val=&quot;Cambria Math&quot;/&gt;&lt;w:i/&gt;&lt;w:color w:val=&quot;000000&quot;/&gt;&lt;w:sz-cs w:val=&quot;20&quot;/&gt;&lt;w:lang w:val=&quot;EN-GB&quot;/&gt;&lt;/w:rPr&gt;&lt;m:t&gt;R&lt;/m:t&gt;&lt;/m:r&gt;&lt;/m:oMath&gt;&lt;/m:oMathPara&gt;&lt;/w:p&gt;&lt;w:sectPr wsp:rsidR=&quot;00000000&quot;&gt;&lt;w:pgSz w:w=&quot;12MMMM24t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5" o:spt="75" type="#_x0000_t75" style="height:11.0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25BD&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4D25BD&quot; wsp:rsidP=&quot;004D25BD&quot;&gt;&lt;m:oMathPara&gt;&lt;m:oMath&gt;&lt;m:r&gt;&lt;w:rPr&gt;&lt;w:rFonts w:ascii=&quot;Cambria Math&quot; w:fareast=&quot;_?&quot; w:h-ansi=&quot;Cambria Math&quot;/&gt;&lt;wx:font wx:val=&quot;Cambria Math&quot;/&gt;&lt;w:i/&gt;&lt;w:color w:val=&quot;000000&quot;/&gt;&lt;w:sz-cs w:val=&quot;20&quot;/&gt;&lt;w:lang w:val=&quot;EN-GB&quot;/&gt;&lt;/w:rPr&gt;&lt;m:t&gt;R&lt;/m:t&gt;&lt;/m:r&gt;&lt;/m:oMath&gt;&lt;/m:oMathPara&gt;&lt;/w:p&gt;&lt;w:sectPr wsp:rsidR=&quot;00000000&quot;&gt;&lt;w:pgSz w:w=&quot;12MMMM24t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w:t>
            </w:r>
          </w:p>
          <w:p>
            <w:pPr>
              <w:spacing w:after="180"/>
              <w:rPr>
                <w:rFonts w:eastAsia="宋体"/>
                <w:color w:val="000000"/>
                <w:sz w:val="18"/>
                <w:szCs w:val="13"/>
                <w:lang w:val="en-GB"/>
              </w:rPr>
            </w:pPr>
            <w:r>
              <w:rPr>
                <w:rFonts w:eastAsia="宋体"/>
                <w:sz w:val="18"/>
                <w:szCs w:val="13"/>
                <w:lang w:val="en-GB"/>
              </w:rPr>
              <w:t xml:space="preserve">For operation with shared spectrum channel access, the </w:t>
            </w:r>
            <w:r>
              <w:rPr>
                <w:rFonts w:eastAsia="宋体"/>
                <w:sz w:val="18"/>
                <w:szCs w:val="10"/>
                <w:lang w:val="en-GB"/>
              </w:rPr>
              <w:t>UE does not expect that multiple hops of an SRS resource transmission are in different RB sets.</w:t>
            </w:r>
          </w:p>
          <w:p>
            <w:pPr>
              <w:spacing w:after="180"/>
              <w:rPr>
                <w:rFonts w:eastAsia="宋体"/>
                <w:color w:val="000000"/>
                <w:sz w:val="18"/>
                <w:szCs w:val="13"/>
                <w:lang w:val="en-GB"/>
              </w:rPr>
            </w:pPr>
            <w:r>
              <w:rPr>
                <w:rFonts w:eastAsia="宋体"/>
                <w:color w:val="000000"/>
                <w:sz w:val="18"/>
                <w:szCs w:val="13"/>
                <w:lang w:val="en-GB"/>
              </w:rPr>
              <w:t xml:space="preserve">A UE may be configured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46" o:spt="75" type="#_x0000_t75" style="height:11.05pt;width:98.5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6D7D&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E6D7D&quot; wsp:rsidP=&quot;00CE6D7D&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r&gt;&lt;w:rPr&gt;&lt;w:rFonts w:ascii=&quot;Cambria Math&quot; w:fareast=&quot;_?&quot; w:h-ansi=&quot;Cambria Math&quot;/&gt;&lt;wxF:fonFt wxF:valF=&quot;Cambnria Math&quot;/&gt;&lt;w:i/&gt;&lt;w:color w:val=&quot;FF0000&quot;/&gt;&lt;w:sz-cs w:val=&quot;20&quot;/&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47" o:spt="75" type="#_x0000_t75" style="height:11.05pt;width:98.5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6D7D&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E6D7D&quot; wsp:rsidP=&quot;00CE6D7D&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r&gt;&lt;w:rPr&gt;&lt;w:rFonts w:ascii=&quot;Cambria Math&quot; w:fareast=&quot;_?&quot; w:h-ansi=&quot;Cambria Math&quot;/&gt;&lt;wxF:fonFt wxF:valF=&quot;Cambnria Math&quot;/&gt;&lt;w:i/&gt;&lt;w:color w:val=&quot;FF0000&quot;/&gt;&lt;w:sz-cs w:val=&quot;20&quot;/&gt;&lt;w:lang w:val=&quot;EN-GB&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adjacent symbol aperiodic SRS resource with intra-slot frequency hopping within a bandwidth part, where the full hopping bandwidth is sounded with an equal-size subband across </w:t>
            </w:r>
            <w:r>
              <w:rPr>
                <w:rFonts w:eastAsia="宋体"/>
                <w:color w:val="000000"/>
                <w:position w:val="-10"/>
                <w:sz w:val="18"/>
                <w:szCs w:val="13"/>
                <w:lang w:val="en-GB"/>
              </w:rPr>
              <w:object>
                <v:shape id="_x0000_i1048" o:spt="75" type="#_x0000_t75" style="height:15.15pt;width:15.15pt;" o:ole="t" filled="f" o:preferrelative="t" stroked="f" coordsize="21600,21600">
                  <v:path/>
                  <v:fill on="f" focussize="0,0"/>
                  <v:stroke on="f" joinstyle="miter"/>
                  <v:imagedata r:id="rId36" o:title=""/>
                  <o:lock v:ext="edit" aspectratio="t"/>
                  <w10:wrap type="none"/>
                  <w10:anchorlock/>
                </v:shape>
                <o:OLEObject Type="Embed" ProgID="Equation.3" ShapeID="_x0000_i1048" DrawAspect="Content" ObjectID="_1468075740" r:id="rId35">
                  <o:LockedField>false</o:LockedField>
                </o:OLEObject>
              </w:object>
            </w:r>
            <w:r>
              <w:rPr>
                <w:rFonts w:eastAsia="宋体"/>
                <w:color w:val="000000"/>
                <w:sz w:val="18"/>
                <w:szCs w:val="13"/>
                <w:lang w:val="en-GB"/>
              </w:rPr>
              <w:t xml:space="preserve"> symbols when frequency hopping is configured with </w:t>
            </w:r>
            <w:r>
              <w:rPr>
                <w:rFonts w:eastAsia="宋体"/>
                <w:i/>
                <w:color w:val="000000"/>
                <w:sz w:val="18"/>
                <w:szCs w:val="13"/>
                <w:lang w:val="en-GB"/>
              </w:rPr>
              <w:t>R=1</w:t>
            </w:r>
            <w:r>
              <w:rPr>
                <w:rFonts w:eastAsia="宋体"/>
                <w:color w:val="000000"/>
                <w:sz w:val="18"/>
                <w:szCs w:val="13"/>
                <w:lang w:val="en-GB"/>
              </w:rPr>
              <w:t xml:space="preserve">. A UE may be configured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w:t>
            </w:r>
            <w:r>
              <w:rPr>
                <w:rFonts w:eastAsia="宋体"/>
                <w:color w:val="000000"/>
                <w:sz w:val="18"/>
                <w:szCs w:val="13"/>
                <w:lang w:val="en-GB"/>
              </w:rPr>
              <w:t xml:space="preserve"> adjacent symbols aperiodic SRS resource with intra-slot frequency hopping within a bandwidth part, where the full hopping bandwidth is sounded with an equal-size subband across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10"/>
                <w:sz w:val="18"/>
                <w:szCs w:val="18"/>
              </w:rPr>
              <w:pict>
                <v:shape id="_x0000_i1049"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2B6B&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BB2B6B&quot; wsp:rsidP=&quot;00BB2B6B&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10"/>
                <w:sz w:val="18"/>
                <w:szCs w:val="18"/>
              </w:rPr>
              <w:pict>
                <v:shape id="_x0000_i1050"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2B6B&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BB2B6B&quot; wsp:rsidP=&quot;00BB2B6B&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w:t>
            </w:r>
            <w:r>
              <w:rPr>
                <w:rFonts w:eastAsia="宋体"/>
                <w:strike/>
                <w:color w:val="FF0000"/>
                <w:sz w:val="18"/>
                <w:szCs w:val="13"/>
                <w:lang w:val="en-GB"/>
              </w:rPr>
              <w:t xml:space="preserve">pairs </w:t>
            </w:r>
            <w:r>
              <w:rPr>
                <w:rFonts w:eastAsia="宋体"/>
                <w:color w:val="FF0000"/>
                <w:sz w:val="18"/>
                <w:szCs w:val="13"/>
                <w:lang w:val="en-GB"/>
              </w:rPr>
              <w:t xml:space="preserve">sets </w:t>
            </w:r>
            <w:r>
              <w:rPr>
                <w:rFonts w:eastAsia="宋体"/>
                <w:color w:val="000000"/>
                <w:sz w:val="18"/>
                <w:szCs w:val="13"/>
                <w:lang w:val="en-GB"/>
              </w:rPr>
              <w:t xml:space="preserve">of </w:t>
            </w:r>
            <w:r>
              <w:rPr>
                <w:rFonts w:eastAsia="宋体"/>
                <w:i/>
                <w:color w:val="000000"/>
                <w:sz w:val="18"/>
                <w:szCs w:val="13"/>
                <w:lang w:val="en-GB"/>
              </w:rPr>
              <w:t>R</w:t>
            </w:r>
            <w:r>
              <w:rPr>
                <w:rFonts w:eastAsia="宋体"/>
                <w:color w:val="000000"/>
                <w:sz w:val="18"/>
                <w:szCs w:val="13"/>
                <w:lang w:val="en-GB"/>
              </w:rPr>
              <w:t xml:space="preserve"> adjacent OFDM symbols, when frequency hopping is configured with </w:t>
            </w:r>
            <w:r>
              <w:rPr>
                <w:rFonts w:eastAsia="宋体"/>
                <w:i/>
                <w:color w:val="000000"/>
                <w:sz w:val="18"/>
                <w:szCs w:val="13"/>
                <w:lang w:val="en-GB"/>
              </w:rPr>
              <w:t>R</w:t>
            </w:r>
            <w:r>
              <w:rPr>
                <w:rFonts w:eastAsia="宋体"/>
                <w:iCs/>
                <w:color w:val="000000"/>
                <w:sz w:val="18"/>
                <w:szCs w:val="13"/>
                <w:lang w:val="en-GB"/>
              </w:rPr>
              <w:t xml:space="preserve"> ≥ </w:t>
            </w:r>
            <w:r>
              <w:rPr>
                <w:rFonts w:eastAsia="宋体"/>
                <w:i/>
                <w:color w:val="000000"/>
                <w:sz w:val="18"/>
                <w:szCs w:val="13"/>
                <w:lang w:val="en-GB"/>
              </w:rPr>
              <w:t>2, 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 xml:space="preserve">R </w:t>
            </w:r>
            <w:r>
              <w:rPr>
                <w:rFonts w:eastAsia="宋体"/>
                <w:iCs/>
                <w:color w:val="000000"/>
                <w:sz w:val="18"/>
                <w:szCs w:val="13"/>
                <w:lang w:val="en-GB"/>
              </w:rPr>
              <w:t xml:space="preserve">and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should be divisible by </w:t>
            </w:r>
            <w:r>
              <w:rPr>
                <w:rFonts w:eastAsia="宋体"/>
                <w:i/>
                <w:color w:val="000000"/>
                <w:sz w:val="18"/>
                <w:szCs w:val="13"/>
                <w:lang w:val="en-GB"/>
              </w:rPr>
              <w:t>R</w:t>
            </w:r>
            <w:r>
              <w:rPr>
                <w:rFonts w:eastAsia="宋体"/>
                <w:color w:val="000000"/>
                <w:sz w:val="18"/>
                <w:szCs w:val="13"/>
                <w:lang w:val="en-GB"/>
              </w:rPr>
              <w:t xml:space="preserve">. Each of the antenna ports of the SRS resource is mapped to the same set of subcarriers within each </w:t>
            </w:r>
            <w:r>
              <w:rPr>
                <w:rFonts w:eastAsia="宋体"/>
                <w:strike/>
                <w:color w:val="FF0000"/>
                <w:sz w:val="18"/>
                <w:szCs w:val="13"/>
                <w:lang w:val="en-GB"/>
              </w:rPr>
              <w:t xml:space="preserve">pair </w:t>
            </w:r>
            <w:r>
              <w:rPr>
                <w:rFonts w:eastAsia="宋体"/>
                <w:color w:val="FF0000"/>
                <w:sz w:val="18"/>
                <w:szCs w:val="13"/>
                <w:lang w:val="en-GB"/>
              </w:rPr>
              <w:t xml:space="preserve">set </w:t>
            </w:r>
            <w:r>
              <w:rPr>
                <w:rFonts w:eastAsia="宋体"/>
                <w:color w:val="000000"/>
                <w:sz w:val="18"/>
                <w:szCs w:val="13"/>
                <w:lang w:val="en-GB"/>
              </w:rPr>
              <w:t>of R adjacent OFDM symbols of the resource.</w:t>
            </w:r>
          </w:p>
          <w:p>
            <w:pPr>
              <w:spacing w:after="180"/>
              <w:rPr>
                <w:rFonts w:eastAsia="宋体"/>
                <w:color w:val="000000"/>
                <w:sz w:val="18"/>
                <w:szCs w:val="13"/>
              </w:rPr>
            </w:pPr>
            <w:r>
              <w:rPr>
                <w:rFonts w:eastAsia="宋体"/>
                <w:color w:val="000000"/>
                <w:sz w:val="18"/>
                <w:szCs w:val="13"/>
              </w:rPr>
              <w:t>A UE may be configured</w:t>
            </w:r>
            <w:r>
              <w:rPr>
                <w:rFonts w:eastAsia="宋体"/>
                <w:color w:val="000000"/>
                <w:position w:val="-10"/>
                <w:sz w:val="18"/>
                <w:szCs w:val="13"/>
                <w:lang w:val="en-GB"/>
              </w:rPr>
              <w:object>
                <v:shape id="_x0000_i1051" o:spt="75" type="#_x0000_t75" style="height:15.15pt;width:30.65pt;" o:ole="t" filled="f" o:preferrelative="t" stroked="f" coordsize="21600,21600">
                  <v:path/>
                  <v:fill on="f" focussize="0,0"/>
                  <v:stroke on="f" joinstyle="miter"/>
                  <v:imagedata r:id="rId38" o:title=""/>
                  <o:lock v:ext="edit" aspectratio="t"/>
                  <w10:wrap type="none"/>
                  <w10:anchorlock/>
                </v:shape>
                <o:OLEObject Type="Embed" ProgID="Equation.3" ShapeID="_x0000_i1051" DrawAspect="Content" ObjectID="_1468075741" r:id="rId37">
                  <o:LockedField>false</o:LockedField>
                </o:OLEObject>
              </w:object>
            </w:r>
            <w:r>
              <w:rPr>
                <w:rFonts w:eastAsia="宋体"/>
                <w:color w:val="000000"/>
                <w:sz w:val="18"/>
                <w:szCs w:val="13"/>
              </w:rPr>
              <w:t xml:space="preserve"> symbol periodic or semi-persistent SRS resource with inter-slot hopping within a bandwidth part, where the SRS resource occupies the same symbol location in each slot. A UE may be configured </w:t>
            </w:r>
            <w:r>
              <w:rPr>
                <w:rFonts w:eastAsia="宋体"/>
                <w:color w:val="000000"/>
                <w:sz w:val="18"/>
                <w:szCs w:val="13"/>
              </w:rPr>
              <w:fldChar w:fldCharType="begin"/>
            </w:r>
            <w:r>
              <w:rPr>
                <w:rFonts w:eastAsia="宋体"/>
                <w:color w:val="000000"/>
                <w:sz w:val="18"/>
                <w:szCs w:val="13"/>
              </w:rPr>
              <w:instrText xml:space="preserve"> QUOTE </w:instrText>
            </w:r>
            <w:r>
              <w:rPr>
                <w:rFonts w:eastAsia="宋体"/>
                <w:position w:val="-4"/>
                <w:sz w:val="18"/>
                <w:szCs w:val="18"/>
              </w:rPr>
              <w:pict>
                <v:shape id="_x0000_i1052" o:spt="75" type="#_x0000_t75" style="height:11.05pt;width:95.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2AA6&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42AA6&quot; wsp:rsidP=&quot;00C42AA6&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9" chromakey="#FFFFFF" o:title=""/>
                  <o:lock v:ext="edit" aspectratio="t"/>
                  <w10:wrap type="none"/>
                  <w10:anchorlock/>
                </v:shape>
              </w:pict>
            </w:r>
            <w:r>
              <w:rPr>
                <w:rFonts w:eastAsia="宋体"/>
                <w:color w:val="000000"/>
                <w:sz w:val="18"/>
                <w:szCs w:val="13"/>
              </w:rPr>
              <w:instrText xml:space="preserve"> </w:instrText>
            </w:r>
            <w:r>
              <w:rPr>
                <w:rFonts w:eastAsia="宋体"/>
                <w:color w:val="000000"/>
                <w:sz w:val="18"/>
                <w:szCs w:val="13"/>
              </w:rPr>
              <w:fldChar w:fldCharType="separate"/>
            </w:r>
            <w:r>
              <w:rPr>
                <w:rFonts w:eastAsia="宋体"/>
                <w:position w:val="-4"/>
                <w:sz w:val="18"/>
                <w:szCs w:val="18"/>
              </w:rPr>
              <w:pict>
                <v:shape id="_x0000_i1053" o:spt="75" type="#_x0000_t75" style="height:11.05pt;width:95.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2AA6&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C42AA6&quot; wsp:rsidP=&quot;00C42AA6&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r&gt;&lt;w:rPr&gt;&lt;w:rFonts w:ascii=&quot;Cambria Math&quot; w:fareast=&quot;_?&quot; w:h-ansi=&quot;CamFbriFa MFathF&quot;/&gt;&lt;wnx:font wx:val=&quot;Cambria Math&quot;/&gt;&lt;w:i/&gt;&lt;w:color w:val=&quot;000000&quot;/&gt;&lt;w:sz-cs w:val=&quot;20&quot;/&gt;&lt;w:lang w:val=&quot;EN-GB&quot;/&gt;&lt;/w:rPr&gt;&lt;m:t&gt;=2,4,8,10,12 or 14&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9" chromakey="#FFFFFF" o:title=""/>
                  <o:lock v:ext="edit" aspectratio="t"/>
                  <w10:wrap type="none"/>
                  <w10:anchorlock/>
                </v:shape>
              </w:pict>
            </w:r>
            <w:r>
              <w:rPr>
                <w:rFonts w:eastAsia="宋体"/>
                <w:color w:val="000000"/>
                <w:sz w:val="18"/>
                <w:szCs w:val="13"/>
              </w:rPr>
              <w:fldChar w:fldCharType="end"/>
            </w:r>
            <w:r>
              <w:rPr>
                <w:rFonts w:eastAsia="宋体"/>
                <w:color w:val="000000"/>
                <w:sz w:val="18"/>
                <w:szCs w:val="13"/>
              </w:rPr>
              <w:t xml:space="preserve"> symbol periodic or semi-persistent SRS resource with intra-slot and inter-slot hopping within a bandwidth part, where the N-symbol SRS resource occupies the same symbol location(s) in each slot.</w:t>
            </w:r>
            <w:r>
              <w:rPr>
                <w:rFonts w:eastAsia="宋体"/>
                <w:color w:val="000000"/>
                <w:sz w:val="18"/>
                <w:szCs w:val="13"/>
                <w:lang w:val="en-GB"/>
              </w:rPr>
              <w:t xml:space="preserve"> </w:t>
            </w:r>
            <w:r>
              <w:rPr>
                <w:rFonts w:eastAsia="宋体"/>
                <w:color w:val="000000"/>
                <w:sz w:val="18"/>
                <w:szCs w:val="13"/>
              </w:rPr>
              <w:t xml:space="preserve">For </w:t>
            </w:r>
            <w:r>
              <w:rPr>
                <w:rFonts w:eastAsia="宋体"/>
                <w:i/>
                <w:color w:val="000000"/>
                <w:sz w:val="18"/>
                <w:szCs w:val="13"/>
                <w:lang w:val="en-GB"/>
              </w:rPr>
              <w:t>N</w:t>
            </w:r>
            <w:r>
              <w:rPr>
                <w:rFonts w:eastAsia="宋体"/>
                <w:i/>
                <w:color w:val="000000"/>
                <w:sz w:val="18"/>
                <w:szCs w:val="13"/>
                <w:vertAlign w:val="subscript"/>
                <w:lang w:val="en-GB"/>
              </w:rPr>
              <w:t>s</w:t>
            </w:r>
            <w:r>
              <w:rPr>
                <w:rFonts w:eastAsia="宋体"/>
                <w:iCs/>
                <w:color w:val="000000"/>
                <w:sz w:val="18"/>
                <w:szCs w:val="13"/>
                <w:vertAlign w:val="subscript"/>
                <w:lang w:val="en-GB"/>
              </w:rPr>
              <w:t xml:space="preserve"> </w:t>
            </w:r>
            <w:r>
              <w:rPr>
                <w:rFonts w:eastAsia="宋体"/>
                <w:iCs/>
                <w:color w:val="000000"/>
                <w:sz w:val="18"/>
                <w:szCs w:val="13"/>
                <w:lang w:val="en-GB"/>
              </w:rPr>
              <w:t xml:space="preserve">≥ </w:t>
            </w:r>
            <w:r>
              <w:rPr>
                <w:rFonts w:eastAsia="宋体"/>
                <w:i/>
                <w:color w:val="000000"/>
                <w:sz w:val="18"/>
                <w:szCs w:val="13"/>
                <w:lang w:val="en-GB"/>
              </w:rPr>
              <w:t>4</w:t>
            </w:r>
            <w:r>
              <w:rPr>
                <w:rFonts w:eastAsia="宋体"/>
                <w:color w:val="000000"/>
                <w:sz w:val="18"/>
                <w:szCs w:val="13"/>
              </w:rPr>
              <w:t xml:space="preserve">, when frequency hopping is configured with </w:t>
            </w:r>
            <w:r>
              <w:rPr>
                <w:rFonts w:eastAsia="宋体"/>
                <w:i/>
                <w:color w:val="000000"/>
                <w:sz w:val="18"/>
                <w:szCs w:val="13"/>
                <w:lang w:val="en-GB"/>
              </w:rPr>
              <w:t>R</w:t>
            </w:r>
            <w:r>
              <w:rPr>
                <w:rFonts w:eastAsia="宋体"/>
                <w:iCs/>
                <w:color w:val="000000"/>
                <w:sz w:val="18"/>
                <w:szCs w:val="13"/>
                <w:lang w:val="en-GB"/>
              </w:rPr>
              <w:t xml:space="preserve"> ≥ </w:t>
            </w:r>
            <w:r>
              <w:rPr>
                <w:rFonts w:eastAsia="宋体"/>
                <w:i/>
                <w:color w:val="000000"/>
                <w:sz w:val="18"/>
                <w:szCs w:val="13"/>
                <w:lang w:val="en-GB"/>
              </w:rPr>
              <w:t>2</w:t>
            </w:r>
            <w:r>
              <w:rPr>
                <w:rFonts w:eastAsia="宋体"/>
                <w:color w:val="000000"/>
                <w:sz w:val="18"/>
                <w:szCs w:val="13"/>
              </w:rPr>
              <w:t xml:space="preserve">, intra-slot and inter-slot hopping is supported with each of the antenna ports of the SRS resource mapped to different sets of subcarriers across </w:t>
            </w:r>
            <w:r>
              <w:rPr>
                <w:rFonts w:eastAsia="宋体"/>
                <w:color w:val="000000"/>
                <w:sz w:val="18"/>
                <w:szCs w:val="13"/>
              </w:rPr>
              <w:fldChar w:fldCharType="begin"/>
            </w:r>
            <w:r>
              <w:rPr>
                <w:rFonts w:eastAsia="宋体"/>
                <w:color w:val="000000"/>
                <w:sz w:val="18"/>
                <w:szCs w:val="13"/>
              </w:rPr>
              <w:instrText xml:space="preserve"> QUOTE </w:instrText>
            </w:r>
            <w:r>
              <w:rPr>
                <w:rFonts w:eastAsia="宋体"/>
                <w:position w:val="-10"/>
                <w:sz w:val="18"/>
                <w:szCs w:val="18"/>
              </w:rPr>
              <w:pict>
                <v:shape id="_x0000_i1054"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251&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60251&quot; wsp:rsidP=&quot;00D60251&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rPr>
              <w:instrText xml:space="preserve"> </w:instrText>
            </w:r>
            <w:r>
              <w:rPr>
                <w:rFonts w:eastAsia="宋体"/>
                <w:color w:val="000000"/>
                <w:sz w:val="18"/>
                <w:szCs w:val="13"/>
              </w:rPr>
              <w:fldChar w:fldCharType="separate"/>
            </w:r>
            <w:r>
              <w:rPr>
                <w:rFonts w:eastAsia="宋体"/>
                <w:position w:val="-10"/>
                <w:sz w:val="18"/>
                <w:szCs w:val="18"/>
              </w:rPr>
              <w:pict>
                <v:shape id="_x0000_i1055" o:spt="75" type="#_x0000_t75" style="height:18.95pt;width:7.6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251&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D60251&quot; wsp:rsidP=&quot;00D60251&quot;&gt;&lt;m:oMathPara&gt;&lt;m:oMath&gt;&lt;m:f&gt;&lt;m:fPr&gt;&lt;m:ctrlPr&gt;&lt;w:rPr&gt;&lt;w:rFonts w:ascii=&quot;Cambria Math&quot; w:fareast=&quot;_?&quot; w:h-ansi=&quot;Cambria Math&quot;/&gt;&lt;wx:font wx:val=&quot;Cambria Math&quot;/&gt;&lt;w:color w:val=&quot;000000&quot;/&gt;&lt;w:sz-cs w:val=&quot;20&quot;/&gt;&lt;w:lang w:val=&quot;EN-GB&quot;/&gt;&lt;/w:rPr&gt;&lt;/m:ctrlPr&gt;&lt;/m:fPr&gt;&lt;m:num&gt;&lt;m:sSub&gt;&lt;m:sSubPr&gt;&lt;m:ctrlPr&gt;&lt;w:rPr&gt;&lt;w:rFonts w:ascii=&quot;Camwwwwbraia Math&quot; w:fareast=&quot;_?&quot; w:h-ansi=&quot;Cambria Math&quot;/&gt;&lt;wx:font wx:val=&quot;Cambria Math&quot;/&gt;&lt;w:i/&gt;&lt;w:color w:val=&quot;000000&quot;/&gt;&lt;w:sz-cs w:val=&quot;20&quot;/&gt;&lt;w:lang w:val=&quot;EN-GB&quot;/&gt;&lt;/w:rPr&gt;&lt;/m:ctrlPr&gt;&lt;/m:sSubPr&gt;&lt;m:e&gt;&lt;m:r&gt;&lt;w:rPr&gt;&lt;w:rFonts w:ascii=&quot;Cambria Math&quot; w:fareast=&quot;?w_w?mw&quot;mw w:rah-ansi=&quot;Cambria Math&quot;/&gt;&lt;wx:font wx:val=&quot;Cambria Math&quot;/&gt;&lt;w:i/&gt;&lt;w:color w:val=&quot;000000&quot;/&gt;&lt;w:sz-cs w:val=&quot;20&quot;/&gt;&lt;w:lang w:val=&quot;EN-GB&quot;/&gt;&lt;/w:rPr&gt;&lt;m:t&gt;N&lt;/m:t&gt;&lt;/m:r&gt;&lt;/m:e&gt;&lt;m:sub&gt;&lt;m:r&gt;&lt;w:rPr&gt;&lt;w:rFonts w:ascii=&quot;Cambria Math&quot; w:fareast=&quot;_?&quot; w:h-ansi=&quot;C?wambwriaw Mawth&quot;/&gt;a&lt;wx:font wx:val=&quot;Cambria Math&quot;/&gt;&lt;w:i/&gt;&lt;w:color w:val=&quot;000000&quot;/&gt;&lt;w:sz-cs w:val=&quot;20&quot;/&gt;&lt;w:lang w:val=&quot;EN-GB&quot;/&gt;&lt;/w:rPr&gt;&lt;m:t&gt;s&lt;/m:t&gt;&lt;/m:r&gt;&lt;/m:sub&gt;&lt;/m:sSub&gt;&lt;/m:num&gt;&lt;m:den&gt;&lt;m:r&gt;&lt;w:rPr&gt;&lt;w:rFonts w:ascii=&quot;Cambria Math&quot; w:fareast=&quot;_?&quot; w:h-ansi=&quot;Cwambrwia Mwath&quot;w/&gt;&lt;wx:afont wx:val=&quot;Cambria Math&quot;/&gt;&lt;w:i/&gt;&lt;w:color w:val=&quot;000000&quot;/&gt;&lt;w:sz-cs w:val=&quot;20&quot;/&gt;&lt;w:lang w:val=&quot;EN-GB&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rFonts w:eastAsia="宋体"/>
                <w:color w:val="000000"/>
                <w:sz w:val="18"/>
                <w:szCs w:val="13"/>
              </w:rPr>
              <w:fldChar w:fldCharType="end"/>
            </w:r>
            <w:r>
              <w:rPr>
                <w:rFonts w:eastAsia="宋体"/>
                <w:color w:val="000000"/>
                <w:sz w:val="18"/>
                <w:szCs w:val="13"/>
              </w:rPr>
              <w:t xml:space="preserve"> </w:t>
            </w:r>
            <w:r>
              <w:rPr>
                <w:rFonts w:eastAsia="宋体"/>
                <w:strike/>
                <w:color w:val="FF0000"/>
                <w:sz w:val="18"/>
                <w:szCs w:val="13"/>
              </w:rPr>
              <w:t xml:space="preserve">pairs </w:t>
            </w:r>
            <w:r>
              <w:rPr>
                <w:rFonts w:eastAsia="宋体"/>
                <w:color w:val="FF0000"/>
                <w:sz w:val="18"/>
                <w:szCs w:val="13"/>
              </w:rPr>
              <w:t xml:space="preserve">sets </w:t>
            </w:r>
            <w:r>
              <w:rPr>
                <w:rFonts w:eastAsia="宋体"/>
                <w:color w:val="000000"/>
                <w:sz w:val="18"/>
                <w:szCs w:val="13"/>
              </w:rPr>
              <w:t xml:space="preserve">of </w:t>
            </w:r>
            <w:r>
              <w:rPr>
                <w:rFonts w:eastAsia="宋体"/>
                <w:i/>
                <w:color w:val="000000"/>
                <w:sz w:val="18"/>
                <w:szCs w:val="13"/>
              </w:rPr>
              <w:t>R</w:t>
            </w:r>
            <w:r>
              <w:rPr>
                <w:rFonts w:eastAsia="宋体"/>
                <w:color w:val="000000"/>
                <w:sz w:val="18"/>
                <w:szCs w:val="13"/>
              </w:rPr>
              <w:t xml:space="preserve"> adjacent OFDM symbol(s) of the resource in each slot</w:t>
            </w:r>
            <w:r>
              <w:rPr>
                <w:rFonts w:eastAsia="宋体"/>
                <w:color w:val="000000"/>
                <w:sz w:val="18"/>
                <w:szCs w:val="13"/>
                <w:lang w:val="en-GB"/>
              </w:rPr>
              <w:t xml:space="preserve">, where </w:t>
            </w:r>
            <w:r>
              <w:rPr>
                <w:rFonts w:eastAsia="宋体"/>
                <w:color w:val="000000"/>
                <w:sz w:val="18"/>
                <w:szCs w:val="13"/>
                <w:lang w:val="en-GB"/>
              </w:rPr>
              <w:fldChar w:fldCharType="begin"/>
            </w:r>
            <w:r>
              <w:rPr>
                <w:rFonts w:eastAsia="宋体"/>
                <w:color w:val="000000"/>
                <w:sz w:val="18"/>
                <w:szCs w:val="13"/>
                <w:lang w:val="en-GB"/>
              </w:rPr>
              <w:instrText xml:space="preserve"> QUOTE </w:instrText>
            </w:r>
            <w:r>
              <w:rPr>
                <w:rFonts w:eastAsia="宋体"/>
                <w:position w:val="-4"/>
                <w:sz w:val="18"/>
                <w:szCs w:val="18"/>
              </w:rPr>
              <w:pict>
                <v:shape id="_x0000_i1056"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85D4B&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385D4B&quot; wsp:rsidP=&quot;00385D4B&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instrText xml:space="preserve"> </w:instrText>
            </w:r>
            <w:r>
              <w:rPr>
                <w:rFonts w:eastAsia="宋体"/>
                <w:color w:val="000000"/>
                <w:sz w:val="18"/>
                <w:szCs w:val="13"/>
                <w:lang w:val="en-GB"/>
              </w:rPr>
              <w:fldChar w:fldCharType="separate"/>
            </w:r>
            <w:r>
              <w:rPr>
                <w:rFonts w:eastAsia="宋体"/>
                <w:position w:val="-4"/>
                <w:sz w:val="18"/>
                <w:szCs w:val="18"/>
              </w:rPr>
              <w:pict>
                <v:shape id="_x0000_i1057" o:spt="75" type="#_x0000_t75" style="height:11.05pt;width:11.05pt;" filled="f" o:preferrelative="t" stroked="f" coordsize="21600,2160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2&quot;/&gt;&lt;w:displayBackgroundShape/&gt;&lt;w:doNotEmbedSystemFonts/&gt;&lt;w:bordersDontSurroundHeader/&gt;&lt;w:bordersDontSurroundFooter/&gt;&lt;w:defaultTabStop w:val=&quot;1304&quot;/&gt;&lt;w:hyphenationZone w:val=&quot;42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2F49&quot;/&gt;&lt;wsp:rsid wsp:val=&quot;000034CF&quot;/&gt;&lt;wsp:rsid wsp:val=&quot;00003CCB&quot;/&gt;&lt;wsp:rsid wsp:val=&quot;00006052&quot;/&gt;&lt;wsp:rsid wsp:val=&quot;00007520&quot;/&gt;&lt;wsp:rsid wsp:val=&quot;00007DA3&quot;/&gt;&lt;wsp:rsid wsp:val=&quot;000137F2&quot;/&gt;&lt;wsp:rsid wsp:val=&quot;00013BF4&quot;/&gt;&lt;wsp:rsid wsp:val=&quot;00014220&quot;/&gt;&lt;wsp:rsid wsp:val=&quot;000169FD&quot;/&gt;&lt;wsp:rsid wsp:val=&quot;00020290&quot;/&gt;&lt;wsp:rsid wsp:val=&quot;000208B1&quot;/&gt;&lt;wsp:rsid wsp:val=&quot;00020D65&quot;/&gt;&lt;wsp:rsid wsp:val=&quot;000212E3&quot;/&gt;&lt;wsp:rsid wsp:val=&quot;00022A34&quot;/&gt;&lt;wsp:rsid wsp:val=&quot;000231FA&quot;/&gt;&lt;wsp:rsid wsp:val=&quot;000235EB&quot;/&gt;&lt;wsp:rsid wsp:val=&quot;00023A97&quot;/&gt;&lt;wsp:rsid wsp:val=&quot;00023D86&quot;/&gt;&lt;wsp:rsid wsp:val=&quot;0002419D&quot;/&gt;&lt;wsp:rsid wsp:val=&quot;00030D26&quot;/&gt;&lt;wsp:rsid wsp:val=&quot;000322B6&quot;/&gt;&lt;wsp:rsid wsp:val=&quot;00033052&quot;/&gt;&lt;wsp:rsid wsp:val=&quot;00033684&quot;/&gt;&lt;wsp:rsid wsp:val=&quot;000340D5&quot;/&gt;&lt;wsp:rsid wsp:val=&quot;000370A1&quot;/&gt;&lt;wsp:rsid wsp:val=&quot;00040905&quot;/&gt;&lt;wsp:rsid wsp:val=&quot;00041296&quot;/&gt;&lt;wsp:rsid wsp:val=&quot;00041C61&quot;/&gt;&lt;wsp:rsid wsp:val=&quot;00041C68&quot;/&gt;&lt;wsp:rsid wsp:val=&quot;000428A6&quot;/&gt;&lt;wsp:rsid wsp:val=&quot;00044082&quot;/&gt;&lt;wsp:rsid wsp:val=&quot;000442BD&quot;/&gt;&lt;wsp:rsid wsp:val=&quot;000445F0&quot;/&gt;&lt;wsp:rsid wsp:val=&quot;000507D8&quot;/&gt;&lt;wsp:rsid wsp:val=&quot;00051F0D&quot;/&gt;&lt;wsp:rsid wsp:val=&quot;000572EC&quot;/&gt;&lt;wsp:rsid wsp:val=&quot;00057C63&quot;/&gt;&lt;wsp:rsid wsp:val=&quot;00061096&quot;/&gt;&lt;wsp:rsid wsp:val=&quot;00063158&quot;/&gt;&lt;wsp:rsid wsp:val=&quot;0006400E&quot;/&gt;&lt;wsp:rsid wsp:val=&quot;000643CA&quot;/&gt;&lt;wsp:rsid wsp:val=&quot;00065915&quot;/&gt;&lt;wsp:rsid wsp:val=&quot;000664CC&quot;/&gt;&lt;wsp:rsid wsp:val=&quot;00067A60&quot;/&gt;&lt;wsp:rsid wsp:val=&quot;00067D6A&quot;/&gt;&lt;wsp:rsid wsp:val=&quot;00070F0A&quot;/&gt;&lt;wsp:rsid wsp:val=&quot;000711B6&quot;/&gt;&lt;wsp:rsid wsp:val=&quot;000724C5&quot;/&gt;&lt;wsp:rsid wsp:val=&quot;0007332C&quot;/&gt;&lt;wsp:rsid wsp:val=&quot;000807DB&quot;/&gt;&lt;wsp:rsid wsp:val=&quot;00081058&quot;/&gt;&lt;wsp:rsid wsp:val=&quot;00082D9B&quot;/&gt;&lt;wsp:rsid wsp:val=&quot;00085C15&quot;/&gt;&lt;wsp:rsid wsp:val=&quot;00086394&quot;/&gt;&lt;wsp:rsid wsp:val=&quot;00087D1F&quot;/&gt;&lt;wsp:rsid wsp:val=&quot;00087E87&quot;/&gt;&lt;wsp:rsid wsp:val=&quot;00090527&quot;/&gt;&lt;wsp:rsid wsp:val=&quot;0009265A&quot;/&gt;&lt;wsp:rsid wsp:val=&quot;0009348F&quot;/&gt;&lt;wsp:rsid wsp:val=&quot;000948F1&quot;/&gt;&lt;wsp:rsid wsp:val=&quot;00096C7C&quot;/&gt;&lt;wsp:rsid wsp:val=&quot;00097E72&quot;/&gt;&lt;wsp:rsid wsp:val=&quot;000A14D6&quot;/&gt;&lt;wsp:rsid wsp:val=&quot;000A26AB&quot;/&gt;&lt;wsp:rsid wsp:val=&quot;000A2A3F&quot;/&gt;&lt;wsp:rsid wsp:val=&quot;000A414A&quot;/&gt;&lt;wsp:rsid wsp:val=&quot;000A7536&quot;/&gt;&lt;wsp:rsid wsp:val=&quot;000B3FA1&quot;/&gt;&lt;wsp:rsid wsp:val=&quot;000B4A70&quot;/&gt;&lt;wsp:rsid wsp:val=&quot;000B4EEF&quot;/&gt;&lt;wsp:rsid wsp:val=&quot;000B7707&quot;/&gt;&lt;wsp:rsid wsp:val=&quot;000C1B52&quot;/&gt;&lt;wsp:rsid wsp:val=&quot;000C3C9F&quot;/&gt;&lt;wsp:rsid wsp:val=&quot;000C4CE9&quot;/&gt;&lt;wsp:rsid wsp:val=&quot;000C711F&quot;/&gt;&lt;wsp:rsid wsp:val=&quot;000D1399&quot;/&gt;&lt;wsp:rsid wsp:val=&quot;000D4229&quot;/&gt;&lt;wsp:rsid wsp:val=&quot;000D7693&quot;/&gt;&lt;wsp:rsid wsp:val=&quot;000E1397&quot;/&gt;&lt;wsp:rsid wsp:val=&quot;000E13D9&quot;/&gt;&lt;wsp:rsid wsp:val=&quot;000E2E46&quot;/&gt;&lt;wsp:rsid wsp:val=&quot;000E3665&quot;/&gt;&lt;wsp:rsid wsp:val=&quot;000E47B4&quot;/&gt;&lt;wsp:rsid wsp:val=&quot;000E4DBB&quot;/&gt;&lt;wsp:rsid wsp:val=&quot;000E51BF&quot;/&gt;&lt;wsp:rsid wsp:val=&quot;000E6656&quot;/&gt;&lt;wsp:rsid wsp:val=&quot;000E6768&quot;/&gt;&lt;wsp:rsid wsp:val=&quot;000E6A06&quot;/&gt;&lt;wsp:rsid wsp:val=&quot;000E7EF6&quot;/&gt;&lt;wsp:rsid wsp:val=&quot;000F1225&quot;/&gt;&lt;wsp:rsid wsp:val=&quot;000F2ED3&quot;/&gt;&lt;wsp:rsid wsp:val=&quot;000F2F41&quot;/&gt;&lt;wsp:rsid wsp:val=&quot;000F3ADE&quot;/&gt;&lt;wsp:rsid wsp:val=&quot;000F3AFF&quot;/&gt;&lt;wsp:rsid wsp:val=&quot;000F447B&quot;/&gt;&lt;wsp:rsid wsp:val=&quot;000F4F65&quot;/&gt;&lt;wsp:rsid wsp:val=&quot;00100717&quot;/&gt;&lt;wsp:rsid wsp:val=&quot;0010290D&quot;/&gt;&lt;wsp:rsid wsp:val=&quot;00102D9A&quot;/&gt;&lt;wsp:rsid wsp:val=&quot;00104515&quot;/&gt;&lt;wsp:rsid wsp:val=&quot;0010504F&quot;/&gt;&lt;wsp:rsid wsp:val=&quot;00105BDF&quot;/&gt;&lt;wsp:rsid wsp:val=&quot;0010625E&quot;/&gt;&lt;wsp:rsid wsp:val=&quot;00107546&quot;/&gt;&lt;wsp:rsid wsp:val=&quot;00107DB5&quot;/&gt;&lt;wsp:rsid wsp:val=&quot;00111C42&quot;/&gt;&lt;wsp:rsid wsp:val=&quot;00114C32&quot;/&gt;&lt;wsp:rsid wsp:val=&quot;00115098&quot;/&gt;&lt;wsp:rsid wsp:val=&quot;00120898&quot;/&gt;&lt;wsp:rsid wsp:val=&quot;00124544&quot;/&gt;&lt;wsp:rsid wsp:val=&quot;001262B8&quot;/&gt;&lt;wsp:rsid wsp:val=&quot;00130A0D&quot;/&gt;&lt;wsp:rsid wsp:val=&quot;00130AB1&quot;/&gt;&lt;wsp:rsid wsp:val=&quot;00131529&quot;/&gt;&lt;wsp:rsid wsp:val=&quot;0013390A&quot;/&gt;&lt;wsp:rsid wsp:val=&quot;00135606&quot;/&gt;&lt;wsp:rsid wsp:val=&quot;001417EE&quot;/&gt;&lt;wsp:rsid wsp:val=&quot;001428F9&quot;/&gt;&lt;wsp:rsid wsp:val=&quot;001431FE&quot;/&gt;&lt;wsp:rsid wsp:val=&quot;0014469C&quot;/&gt;&lt;wsp:rsid wsp:val=&quot;00144A13&quot;/&gt;&lt;wsp:rsid wsp:val=&quot;00145A68&quot;/&gt;&lt;wsp:rsid wsp:val=&quot;00145E47&quot;/&gt;&lt;wsp:rsid wsp:val=&quot;001462D1&quot;/&gt;&lt;wsp:rsid wsp:val=&quot;001559E2&quot;/&gt;&lt;wsp:rsid wsp:val=&quot;00157EB9&quot;/&gt;&lt;wsp:rsid wsp:val=&quot;001602CC&quot;/&gt;&lt;wsp:rsid wsp:val=&quot;00163996&quot;/&gt;&lt;wsp:rsid wsp:val=&quot;0016494B&quot;/&gt;&lt;wsp:rsid wsp:val=&quot;00165AD7&quot;/&gt;&lt;wsp:rsid wsp:val=&quot;001674B1&quot;/&gt;&lt;wsp:rsid wsp:val=&quot;00167E5D&quot;/&gt;&lt;wsp:rsid wsp:val=&quot;00170203&quot;/&gt;&lt;wsp:rsid wsp:val=&quot;00171176&quot;/&gt;&lt;wsp:rsid wsp:val=&quot;0017167F&quot;/&gt;&lt;wsp:rsid wsp:val=&quot;00171B6A&quot;/&gt;&lt;wsp:rsid wsp:val=&quot;00171EF5&quot;/&gt;&lt;wsp:rsid wsp:val=&quot;0017238E&quot;/&gt;&lt;wsp:rsid wsp:val=&quot;00172A9C&quot;/&gt;&lt;wsp:rsid wsp:val=&quot;001730CF&quot;/&gt;&lt;wsp:rsid wsp:val=&quot;001745BC&quot;/&gt;&lt;wsp:rsid wsp:val=&quot;00175510&quot;/&gt;&lt;wsp:rsid wsp:val=&quot;00175BFE&quot;/&gt;&lt;wsp:rsid wsp:val=&quot;001802B0&quot;/&gt;&lt;wsp:rsid wsp:val=&quot;001846A7&quot;/&gt;&lt;wsp:rsid wsp:val=&quot;001849EE&quot;/&gt;&lt;wsp:rsid wsp:val=&quot;001867E1&quot;/&gt;&lt;wsp:rsid wsp:val=&quot;00186C3C&quot;/&gt;&lt;wsp:rsid wsp:val=&quot;00190984&quot;/&gt;&lt;wsp:rsid wsp:val=&quot;00190E6B&quot;/&gt;&lt;wsp:rsid wsp:val=&quot;00194ED5&quot;/&gt;&lt;wsp:rsid wsp:val=&quot;001A3C43&quot;/&gt;&lt;wsp:rsid wsp:val=&quot;001A4270&quot;/&gt;&lt;wsp:rsid wsp:val=&quot;001A56C9&quot;/&gt;&lt;wsp:rsid wsp:val=&quot;001A5B9C&quot;/&gt;&lt;wsp:rsid wsp:val=&quot;001A5C25&quot;/&gt;&lt;wsp:rsid wsp:val=&quot;001A5DF0&quot;/&gt;&lt;wsp:rsid wsp:val=&quot;001A6865&quot;/&gt;&lt;wsp:rsid wsp:val=&quot;001A6999&quot;/&gt;&lt;wsp:rsid wsp:val=&quot;001B06E9&quot;/&gt;&lt;wsp:rsid wsp:val=&quot;001B1390&quot;/&gt;&lt;wsp:rsid wsp:val=&quot;001B15A8&quot;/&gt;&lt;wsp:rsid wsp:val=&quot;001B1D06&quot;/&gt;&lt;wsp:rsid wsp:val=&quot;001B37B6&quot;/&gt;&lt;wsp:rsid wsp:val=&quot;001B3EB1&quot;/&gt;&lt;wsp:rsid wsp:val=&quot;001B45C2&quot;/&gt;&lt;wsp:rsid wsp:val=&quot;001B464A&quot;/&gt;&lt;wsp:rsid wsp:val=&quot;001B58F3&quot;/&gt;&lt;wsp:rsid wsp:val=&quot;001B66B1&quot;/&gt;&lt;wsp:rsid wsp:val=&quot;001B679B&quot;/&gt;&lt;wsp:rsid wsp:val=&quot;001C1E15&quot;/&gt;&lt;wsp:rsid wsp:val=&quot;001C2FE3&quot;/&gt;&lt;wsp:rsid wsp:val=&quot;001C661B&quot;/&gt;&lt;wsp:rsid wsp:val=&quot;001C6A32&quot;/&gt;&lt;wsp:rsid wsp:val=&quot;001C6ABE&quot;/&gt;&lt;wsp:rsid wsp:val=&quot;001C6BA8&quot;/&gt;&lt;wsp:rsid wsp:val=&quot;001C6E18&quot;/&gt;&lt;wsp:rsid wsp:val=&quot;001C7242&quot;/&gt;&lt;wsp:rsid wsp:val=&quot;001C7FCA&quot;/&gt;&lt;wsp:rsid wsp:val=&quot;001D00C9&quot;/&gt;&lt;wsp:rsid wsp:val=&quot;001D3432&quot;/&gt;&lt;wsp:rsid wsp:val=&quot;001D649C&quot;/&gt;&lt;wsp:rsid wsp:val=&quot;001E1C3A&quot;/&gt;&lt;wsp:rsid wsp:val=&quot;001E37AA&quot;/&gt;&lt;wsp:rsid wsp:val=&quot;001E4EC7&quot;/&gt;&lt;wsp:rsid wsp:val=&quot;001E70ED&quot;/&gt;&lt;wsp:rsid wsp:val=&quot;001E75B7&quot;/&gt;&lt;wsp:rsid wsp:val=&quot;001F0185&quot;/&gt;&lt;wsp:rsid wsp:val=&quot;001F2108&quot;/&gt;&lt;wsp:rsid wsp:val=&quot;001F28BB&quot;/&gt;&lt;wsp:rsid wsp:val=&quot;001F4C3F&quot;/&gt;&lt;wsp:rsid wsp:val=&quot;001F555C&quot;/&gt;&lt;wsp:rsid wsp:val=&quot;001F6285&quot;/&gt;&lt;wsp:rsid wsp:val=&quot;002010DE&quot;/&gt;&lt;wsp:rsid wsp:val=&quot;002026E4&quot;/&gt;&lt;wsp:rsid wsp:val=&quot;00202C90&quot;/&gt;&lt;wsp:rsid wsp:val=&quot;0020703D&quot;/&gt;&lt;wsp:rsid wsp:val=&quot;00207865&quot;/&gt;&lt;wsp:rsid wsp:val=&quot;00211FF5&quot;/&gt;&lt;wsp:rsid wsp:val=&quot;00212111&quot;/&gt;&lt;wsp:rsid wsp:val=&quot;00213DB1&quot;/&gt;&lt;wsp:rsid wsp:val=&quot;0021547B&quot;/&gt;&lt;wsp:rsid wsp:val=&quot;00215CA4&quot;/&gt;&lt;wsp:rsid wsp:val=&quot;00217B8C&quot;/&gt;&lt;wsp:rsid wsp:val=&quot;00217DAC&quot;/&gt;&lt;wsp:rsid wsp:val=&quot;00217E48&quot;/&gt;&lt;wsp:rsid wsp:val=&quot;002210A3&quot;/&gt;&lt;wsp:rsid wsp:val=&quot;00222B7B&quot;/&gt;&lt;wsp:rsid wsp:val=&quot;00222DB8&quot;/&gt;&lt;wsp:rsid wsp:val=&quot;00223955&quot;/&gt;&lt;wsp:rsid wsp:val=&quot;00224B81&quot;/&gt;&lt;wsp:rsid wsp:val=&quot;00224C3D&quot;/&gt;&lt;wsp:rsid wsp:val=&quot;002253E1&quot;/&gt;&lt;wsp:rsid wsp:val=&quot;00225CB4&quot;/&gt;&lt;wsp:rsid wsp:val=&quot;00225F44&quot;/&gt;&lt;wsp:rsid wsp:val=&quot;002270BA&quot;/&gt;&lt;wsp:rsid wsp:val=&quot;00227D24&quot;/&gt;&lt;wsp:rsid wsp:val=&quot;00227FB9&quot;/&gt;&lt;wsp:rsid wsp:val=&quot;00230D3E&quot;/&gt;&lt;wsp:rsid wsp:val=&quot;00231225&quot;/&gt;&lt;wsp:rsid wsp:val=&quot;00231901&quot;/&gt;&lt;wsp:rsid wsp:val=&quot;00233789&quot;/&gt;&lt;wsp:rsid wsp:val=&quot;00235474&quot;/&gt;&lt;wsp:rsid wsp:val=&quot;00235D72&quot;/&gt;&lt;wsp:rsid wsp:val=&quot;00235DB8&quot;/&gt;&lt;wsp:rsid wsp:val=&quot;00235DFB&quot;/&gt;&lt;wsp:rsid wsp:val=&quot;00240019&quot;/&gt;&lt;wsp:rsid wsp:val=&quot;0024008E&quot;/&gt;&lt;wsp:rsid wsp:val=&quot;0024247D&quot;/&gt;&lt;wsp:rsid wsp:val=&quot;00242FAC&quot;/&gt;&lt;wsp:rsid wsp:val=&quot;00243740&quot;/&gt;&lt;wsp:rsid wsp:val=&quot;00255BA0&quot;/&gt;&lt;wsp:rsid wsp:val=&quot;00255EC9&quot;/&gt;&lt;wsp:rsid wsp:val=&quot;0025756C&quot;/&gt;&lt;wsp:rsid wsp:val=&quot;00257668&quot;/&gt;&lt;wsp:rsid wsp:val=&quot;002601E0&quot;/&gt;&lt;wsp:rsid wsp:val=&quot;002620F9&quot;/&gt;&lt;wsp:rsid wsp:val=&quot;00263CBD&quot;/&gt;&lt;wsp:rsid wsp:val=&quot;00265CCC&quot;/&gt;&lt;wsp:rsid wsp:val=&quot;0026633B&quot;/&gt;&lt;wsp:rsid wsp:val=&quot;00266900&quot;/&gt;&lt;wsp:rsid wsp:val=&quot;00270654&quot;/&gt;&lt;wsp:rsid wsp:val=&quot;00273A71&quot;/&gt;&lt;wsp:rsid wsp:val=&quot;002751DA&quot;/&gt;&lt;wsp:rsid wsp:val=&quot;00275F17&quot;/&gt;&lt;wsp:rsid wsp:val=&quot;00276720&quot;/&gt;&lt;wsp:rsid wsp:val=&quot;00280741&quot;/&gt;&lt;wsp:rsid wsp:val=&quot;00281454&quot;/&gt;&lt;wsp:rsid wsp:val=&quot;0028747C&quot;/&gt;&lt;wsp:rsid wsp:val=&quot;002878B3&quot;/&gt;&lt;wsp:rsid wsp:val=&quot;00287D26&quot;/&gt;&lt;wsp:rsid wsp:val=&quot;002907CA&quot;/&gt;&lt;wsp:rsid wsp:val=&quot;00291491&quot;/&gt;&lt;wsp:rsid wsp:val=&quot;00291B05&quot;/&gt;&lt;wsp:rsid wsp:val=&quot;00293325&quot;/&gt;&lt;wsp:rsid wsp:val=&quot;0029503F&quot;/&gt;&lt;wsp:rsid wsp:val=&quot;002972DA&quot;/&gt;&lt;wsp:rsid wsp:val=&quot;002A1753&quot;/&gt;&lt;wsp:rsid wsp:val=&quot;002A46A7&quot;/&gt;&lt;wsp:rsid wsp:val=&quot;002A66B8&quot;/&gt;&lt;wsp:rsid wsp:val=&quot;002A72E5&quot;/&gt;&lt;wsp:rsid wsp:val=&quot;002B04A4&quot;/&gt;&lt;wsp:rsid wsp:val=&quot;002B2330&quot;/&gt;&lt;wsp:rsid wsp:val=&quot;002B2D7F&quot;/&gt;&lt;wsp:rsid wsp:val=&quot;002B343D&quot;/&gt;&lt;wsp:rsid wsp:val=&quot;002C1072&quot;/&gt;&lt;wsp:rsid wsp:val=&quot;002C4426&quot;/&gt;&lt;wsp:rsid wsp:val=&quot;002D0775&quot;/&gt;&lt;wsp:rsid wsp:val=&quot;002D2DD5&quot;/&gt;&lt;wsp:rsid wsp:val=&quot;002D2F5A&quot;/&gt;&lt;wsp:rsid wsp:val=&quot;002D3578&quot;/&gt;&lt;wsp:rsid wsp:val=&quot;002D3FA8&quot;/&gt;&lt;wsp:rsid wsp:val=&quot;002D567F&quot;/&gt;&lt;wsp:rsid wsp:val=&quot;002E0292&quot;/&gt;&lt;wsp:rsid wsp:val=&quot;002E11FA&quot;/&gt;&lt;wsp:rsid wsp:val=&quot;002E1247&quot;/&gt;&lt;wsp:rsid wsp:val=&quot;002E1B57&quot;/&gt;&lt;wsp:rsid wsp:val=&quot;002E2E2E&quot;/&gt;&lt;wsp:rsid wsp:val=&quot;002E5150&quot;/&gt;&lt;wsp:rsid wsp:val=&quot;002E584F&quot;/&gt;&lt;wsp:rsid wsp:val=&quot;002E75CD&quot;/&gt;&lt;wsp:rsid wsp:val=&quot;002E7D51&quot;/&gt;&lt;wsp:rsid wsp:val=&quot;002F4316&quot;/&gt;&lt;wsp:rsid wsp:val=&quot;002F4763&quot;/&gt;&lt;wsp:rsid wsp:val=&quot;002F566D&quot;/&gt;&lt;wsp:rsid wsp:val=&quot;002F7BA5&quot;/&gt;&lt;wsp:rsid wsp:val=&quot;00300CF1&quot;/&gt;&lt;wsp:rsid wsp:val=&quot;00300DE7&quot;/&gt;&lt;wsp:rsid wsp:val=&quot;00301DE6&quot;/&gt;&lt;wsp:rsid wsp:val=&quot;00302902&quot;/&gt;&lt;wsp:rsid wsp:val=&quot;003055D3&quot;/&gt;&lt;wsp:rsid wsp:val=&quot;00306F51&quot;/&gt;&lt;wsp:rsid wsp:val=&quot;0031061A&quot;/&gt;&lt;wsp:rsid wsp:val=&quot;00312DA6&quot;/&gt;&lt;wsp:rsid wsp:val=&quot;003139FD&quot;/&gt;&lt;wsp:rsid wsp:val=&quot;00315C3D&quot;/&gt;&lt;wsp:rsid wsp:val=&quot;00316219&quot;/&gt;&lt;wsp:rsid wsp:val=&quot;00317E6B&quot;/&gt;&lt;wsp:rsid wsp:val=&quot;0032042A&quot;/&gt;&lt;wsp:rsid wsp:val=&quot;003248D0&quot;/&gt;&lt;wsp:rsid wsp:val=&quot;00324AAC&quot;/&gt;&lt;wsp:rsid wsp:val=&quot;003254AC&quot;/&gt;&lt;wsp:rsid wsp:val=&quot;0032550D&quot;/&gt;&lt;wsp:rsid wsp:val=&quot;00326A15&quot;/&gt;&lt;wsp:rsid wsp:val=&quot;0032780D&quot;/&gt;&lt;wsp:rsid wsp:val=&quot;0032781B&quot;/&gt;&lt;wsp:rsid wsp:val=&quot;00330F28&quot;/&gt;&lt;wsp:rsid wsp:val=&quot;00331B22&quot;/&gt;&lt;wsp:rsid wsp:val=&quot;00331F4F&quot;/&gt;&lt;wsp:rsid wsp:val=&quot;00332FDF&quot;/&gt;&lt;wsp:rsid wsp:val=&quot;00334282&quot;/&gt;&lt;wsp:rsid wsp:val=&quot;00334A9F&quot;/&gt;&lt;wsp:rsid wsp:val=&quot;003369B2&quot;/&gt;&lt;wsp:rsid wsp:val=&quot;00336B37&quot;/&gt;&lt;wsp:rsid wsp:val=&quot;003374FC&quot;/&gt;&lt;wsp:rsid wsp:val=&quot;00340135&quot;/&gt;&lt;wsp:rsid wsp:val=&quot;0034100B&quot;/&gt;&lt;wsp:rsid wsp:val=&quot;0034135F&quot;/&gt;&lt;wsp:rsid wsp:val=&quot;00342127&quot;/&gt;&lt;wsp:rsid wsp:val=&quot;00343C42&quot;/&gt;&lt;wsp:rsid wsp:val=&quot;00343D8F&quot;/&gt;&lt;wsp:rsid wsp:val=&quot;00345386&quot;/&gt;&lt;wsp:rsid wsp:val=&quot;00346439&quot;/&gt;&lt;wsp:rsid wsp:val=&quot;00346DFF&quot;/&gt;&lt;wsp:rsid wsp:val=&quot;00347362&quot;/&gt;&lt;wsp:rsid wsp:val=&quot;00347BA8&quot;/&gt;&lt;wsp:rsid wsp:val=&quot;0035096F&quot;/&gt;&lt;wsp:rsid wsp:val=&quot;0035173C&quot;/&gt;&lt;wsp:rsid wsp:val=&quot;00352BAD&quot;/&gt;&lt;wsp:rsid wsp:val=&quot;00353C89&quot;/&gt;&lt;wsp:rsid wsp:val=&quot;00354304&quot;/&gt;&lt;wsp:rsid wsp:val=&quot;0035438C&quot;/&gt;&lt;wsp:rsid wsp:val=&quot;00354C97&quot;/&gt;&lt;wsp:rsid wsp:val=&quot;003557DE&quot;/&gt;&lt;wsp:rsid wsp:val=&quot;00356993&quot;/&gt;&lt;wsp:rsid wsp:val=&quot;00357132&quot;/&gt;&lt;wsp:rsid wsp:val=&quot;00360639&quot;/&gt;&lt;wsp:rsid wsp:val=&quot;003621E2&quot;/&gt;&lt;wsp:rsid wsp:val=&quot;0036638B&quot;/&gt;&lt;wsp:rsid wsp:val=&quot;003702F6&quot;/&gt;&lt;wsp:rsid wsp:val=&quot;00370889&quot;/&gt;&lt;wsp:rsid wsp:val=&quot;00370F81&quot;/&gt;&lt;wsp:rsid wsp:val=&quot;00371A5D&quot;/&gt;&lt;wsp:rsid wsp:val=&quot;003724E5&quot;/&gt;&lt;wsp:rsid wsp:val=&quot;00372EFC&quot;/&gt;&lt;wsp:rsid wsp:val=&quot;0037532F&quot;/&gt;&lt;wsp:rsid wsp:val=&quot;00376235&quot;/&gt;&lt;wsp:rsid wsp:val=&quot;00376B91&quot;/&gt;&lt;wsp:rsid wsp:val=&quot;00377444&quot;/&gt;&lt;wsp:rsid wsp:val=&quot;003776DB&quot;/&gt;&lt;wsp:rsid wsp:val=&quot;003800CD&quot;/&gt;&lt;wsp:rsid wsp:val=&quot;0038322D&quot;/&gt;&lt;wsp:rsid wsp:val=&quot;00383373&quot;/&gt;&lt;wsp:rsid wsp:val=&quot;0038437D&quot;/&gt;&lt;wsp:rsid wsp:val=&quot;00384477&quot;/&gt;&lt;wsp:rsid wsp:val=&quot;003859A0&quot;/&gt;&lt;wsp:rsid wsp:val=&quot;00385D4B&quot;/&gt;&lt;wsp:rsid wsp:val=&quot;003909F8&quot;/&gt;&lt;wsp:rsid wsp:val=&quot;003910D8&quot;/&gt;&lt;wsp:rsid wsp:val=&quot;00392134&quot;/&gt;&lt;wsp:rsid wsp:val=&quot;00395135&quot;/&gt;&lt;wsp:rsid wsp:val=&quot;0039681A&quot;/&gt;&lt;wsp:rsid wsp:val=&quot;003A4762&quot;/&gt;&lt;wsp:rsid wsp:val=&quot;003A5650&quot;/&gt;&lt;wsp:rsid wsp:val=&quot;003A5BFB&quot;/&gt;&lt;wsp:rsid wsp:val=&quot;003A7FF1&quot;/&gt;&lt;wsp:rsid wsp:val=&quot;003B1A80&quot;/&gt;&lt;wsp:rsid wsp:val=&quot;003B20C8&quot;/&gt;&lt;wsp:rsid wsp:val=&quot;003B3E3E&quot;/&gt;&lt;wsp:rsid wsp:val=&quot;003B4D5F&quot;/&gt;&lt;wsp:rsid wsp:val=&quot;003B776E&quot;/&gt;&lt;wsp:rsid wsp:val=&quot;003B777F&quot;/&gt;&lt;wsp:rsid wsp:val=&quot;003B7F6F&quot;/&gt;&lt;wsp:rsid wsp:val=&quot;003C1B13&quot;/&gt;&lt;wsp:rsid wsp:val=&quot;003C1B42&quot;/&gt;&lt;wsp:rsid wsp:val=&quot;003C325F&quot;/&gt;&lt;wsp:rsid wsp:val=&quot;003C41C0&quot;/&gt;&lt;wsp:rsid wsp:val=&quot;003D34F5&quot;/&gt;&lt;wsp:rsid wsp:val=&quot;003D447E&quot;/&gt;&lt;wsp:rsid wsp:val=&quot;003D63C1&quot;/&gt;&lt;wsp:rsid wsp:val=&quot;003D6D6E&quot;/&gt;&lt;wsp:rsid wsp:val=&quot;003D6FC7&quot;/&gt;&lt;wsp:rsid wsp:val=&quot;003E0378&quot;/&gt;&lt;wsp:rsid wsp:val=&quot;003E1009&quot;/&gt;&lt;wsp:rsid wsp:val=&quot;003E6CEA&quot;/&gt;&lt;wsp:rsid wsp:val=&quot;003E6F50&quot;/&gt;&lt;wsp:rsid wsp:val=&quot;003F099E&quot;/&gt;&lt;wsp:rsid wsp:val=&quot;003F1056&quot;/&gt;&lt;wsp:rsid wsp:val=&quot;003F1135&quot;/&gt;&lt;wsp:rsid wsp:val=&quot;003F4116&quot;/&gt;&lt;wsp:rsid wsp:val=&quot;003F4B71&quot;/&gt;&lt;wsp:rsid wsp:val=&quot;003F6085&quot;/&gt;&lt;wsp:rsid wsp:val=&quot;003F6A17&quot;/&gt;&lt;wsp:rsid wsp:val=&quot;003F794B&quot;/&gt;&lt;wsp:rsid wsp:val=&quot;003F7B07&quot;/&gt;&lt;wsp:rsid wsp:val=&quot;003F7CF9&quot;/&gt;&lt;wsp:rsid wsp:val=&quot;00400A20&quot;/&gt;&lt;wsp:rsid wsp:val=&quot;00400C8D&quot;/&gt;&lt;wsp:rsid wsp:val=&quot;00402CD5&quot;/&gt;&lt;wsp:rsid wsp:val=&quot;00404DD7&quot;/&gt;&lt;wsp:rsid wsp:val=&quot;00407157&quot;/&gt;&lt;wsp:rsid wsp:val=&quot;00414C0B&quot;/&gt;&lt;wsp:rsid wsp:val=&quot;00422265&quot;/&gt;&lt;wsp:rsid wsp:val=&quot;0042244B&quot;/&gt;&lt;wsp:rsid wsp:val=&quot;00422E2E&quot;/&gt;&lt;wsp:rsid wsp:val=&quot;004249E1&quot;/&gt;&lt;wsp:rsid wsp:val=&quot;00425F61&quot;/&gt;&lt;wsp:rsid wsp:val=&quot;00426AD7&quot;/&gt;&lt;wsp:rsid wsp:val=&quot;00426C1E&quot;/&gt;&lt;wsp:rsid wsp:val=&quot;0042725C&quot;/&gt;&lt;wsp:rsid wsp:val=&quot;0042765E&quot;/&gt;&lt;wsp:rsid wsp:val=&quot;00427BB5&quot;/&gt;&lt;wsp:rsid wsp:val=&quot;0043016D&quot;/&gt;&lt;wsp:rsid wsp:val=&quot;004321BF&quot;/&gt;&lt;wsp:rsid wsp:val=&quot;004321DB&quot;/&gt;&lt;wsp:rsid wsp:val=&quot;00432E09&quot;/&gt;&lt;wsp:rsid wsp:val=&quot;0043335E&quot;/&gt;&lt;wsp:rsid wsp:val=&quot;00434CFF&quot;/&gt;&lt;wsp:rsid wsp:val=&quot;00434FE2&quot;/&gt;&lt;wsp:rsid wsp:val=&quot;00435BA2&quot;/&gt;&lt;wsp:rsid wsp:val=&quot;00437226&quot;/&gt;&lt;wsp:rsid wsp:val=&quot;00441AF6&quot;/&gt;&lt;wsp:rsid wsp:val=&quot;0044287C&quot;/&gt;&lt;wsp:rsid wsp:val=&quot;00443E8E&quot;/&gt;&lt;wsp:rsid wsp:val=&quot;00445495&quot;/&gt;&lt;wsp:rsid wsp:val=&quot;00445E66&quot;/&gt;&lt;wsp:rsid wsp:val=&quot;0045378B&quot;/&gt;&lt;wsp:rsid wsp:val=&quot;004548E4&quot;/&gt;&lt;wsp:rsid wsp:val=&quot;00454EBA&quot;/&gt;&lt;wsp:rsid wsp:val=&quot;00455492&quot;/&gt;&lt;wsp:rsid wsp:val=&quot;00460221&quot;/&gt;&lt;wsp:rsid wsp:val=&quot;00460F57&quot;/&gt;&lt;wsp:rsid wsp:val=&quot;00461010&quot;/&gt;&lt;wsp:rsid wsp:val=&quot;00461031&quot;/&gt;&lt;wsp:rsid wsp:val=&quot;00461F8F&quot;/&gt;&lt;wsp:rsid wsp:val=&quot;004629B1&quot;/&gt;&lt;wsp:rsid wsp:val=&quot;00465187&quot;/&gt;&lt;wsp:rsid wsp:val=&quot;00466D68&quot;/&gt;&lt;wsp:rsid wsp:val=&quot;00467253&quot;/&gt;&lt;wsp:rsid wsp:val=&quot;00467767&quot;/&gt;&lt;wsp:rsid wsp:val=&quot;00467912&quot;/&gt;&lt;wsp:rsid wsp:val=&quot;004702F1&quot;/&gt;&lt;wsp:rsid wsp:val=&quot;00470B06&quot;/&gt;&lt;wsp:rsid wsp:val=&quot;00472476&quot;/&gt;&lt;wsp:rsid wsp:val=&quot;004745DB&quot;/&gt;&lt;wsp:rsid wsp:val=&quot;00474A2A&quot;/&gt;&lt;wsp:rsid wsp:val=&quot;00474E22&quot;/&gt;&lt;wsp:rsid wsp:val=&quot;004755F5&quot;/&gt;&lt;wsp:rsid wsp:val=&quot;00475DCF&quot;/&gt;&lt;wsp:rsid wsp:val=&quot;00475F54&quot;/&gt;&lt;wsp:rsid wsp:val=&quot;00480A9B&quot;/&gt;&lt;wsp:rsid wsp:val=&quot;00480DA1&quot;/&gt;&lt;wsp:rsid wsp:val=&quot;004822C0&quot;/&gt;&lt;wsp:rsid wsp:val=&quot;004842C9&quot;/&gt;&lt;wsp:rsid wsp:val=&quot;004847A4&quot;/&gt;&lt;wsp:rsid wsp:val=&quot;004854A4&quot;/&gt;&lt;wsp:rsid wsp:val=&quot;004857D4&quot;/&gt;&lt;wsp:rsid wsp:val=&quot;00486273&quot;/&gt;&lt;wsp:rsid wsp:val=&quot;00487D13&quot;/&gt;&lt;wsp:rsid wsp:val=&quot;00490882&quot;/&gt;&lt;wsp:rsid wsp:val=&quot;00490D59&quot;/&gt;&lt;wsp:rsid wsp:val=&quot;0049198C&quot;/&gt;&lt;wsp:rsid wsp:val=&quot;004930DA&quot;/&gt;&lt;wsp:rsid wsp:val=&quot;004935FA&quot;/&gt;&lt;wsp:rsid wsp:val=&quot;00493AC1&quot;/&gt;&lt;wsp:rsid wsp:val=&quot;0049413F&quot;/&gt;&lt;wsp:rsid wsp:val=&quot;00496A2C&quot;/&gt;&lt;wsp:rsid wsp:val=&quot;00497584&quot;/&gt;&lt;wsp:rsid wsp:val=&quot;004A31EC&quot;/&gt;&lt;wsp:rsid wsp:val=&quot;004A3AEB&quot;/&gt;&lt;wsp:rsid wsp:val=&quot;004A4386&quot;/&gt;&lt;wsp:rsid wsp:val=&quot;004A629F&quot;/&gt;&lt;wsp:rsid wsp:val=&quot;004A77C0&quot;/&gt;&lt;wsp:rsid wsp:val=&quot;004A799E&quot;/&gt;&lt;wsp:rsid wsp:val=&quot;004A7C1A&quot;/&gt;&lt;wsp:rsid wsp:val=&quot;004B0EF5&quot;/&gt;&lt;wsp:rsid wsp:val=&quot;004B1093&quot;/&gt;&lt;wsp:rsid wsp:val=&quot;004B20EA&quot;/&gt;&lt;wsp:rsid wsp:val=&quot;004B3121&quot;/&gt;&lt;wsp:rsid wsp:val=&quot;004B69F1&quot;/&gt;&lt;wsp:rsid wsp:val=&quot;004B79BD&quot;/&gt;&lt;wsp:rsid wsp:val=&quot;004C0CAC&quot;/&gt;&lt;wsp:rsid wsp:val=&quot;004C0E79&quot;/&gt;&lt;wsp:rsid wsp:val=&quot;004C103B&quot;/&gt;&lt;wsp:rsid wsp:val=&quot;004C1D04&quot;/&gt;&lt;wsp:rsid wsp:val=&quot;004C2604&quot;/&gt;&lt;wsp:rsid wsp:val=&quot;004C5868&quot;/&gt;&lt;wsp:rsid wsp:val=&quot;004C726D&quot;/&gt;&lt;wsp:rsid wsp:val=&quot;004C7AF5&quot;/&gt;&lt;wsp:rsid wsp:val=&quot;004D0462&quot;/&gt;&lt;wsp:rsid wsp:val=&quot;004D1ABD&quot;/&gt;&lt;wsp:rsid wsp:val=&quot;004D2305&quot;/&gt;&lt;wsp:rsid wsp:val=&quot;004D232B&quot;/&gt;&lt;wsp:rsid wsp:val=&quot;004D4BFE&quot;/&gt;&lt;wsp:rsid wsp:val=&quot;004D55FD&quot;/&gt;&lt;wsp:rsid wsp:val=&quot;004D57A1&quot;/&gt;&lt;wsp:rsid wsp:val=&quot;004D69DC&quot;/&gt;&lt;wsp:rsid wsp:val=&quot;004D7BA9&quot;/&gt;&lt;wsp:rsid wsp:val=&quot;004E15C4&quot;/&gt;&lt;wsp:rsid wsp:val=&quot;004E1E19&quot;/&gt;&lt;wsp:rsid wsp:val=&quot;004E2B34&quot;/&gt;&lt;wsp:rsid wsp:val=&quot;004E3C2C&quot;/&gt;&lt;wsp:rsid wsp:val=&quot;004E46BA&quot;/&gt;&lt;wsp:rsid wsp:val=&quot;004E4A23&quot;/&gt;&lt;wsp:rsid wsp:val=&quot;004E4D1D&quot;/&gt;&lt;wsp:rsid wsp:val=&quot;004E65F2&quot;/&gt;&lt;wsp:rsid wsp:val=&quot;004E6819&quot;/&gt;&lt;wsp:rsid wsp:val=&quot;004E7BC4&quot;/&gt;&lt;wsp:rsid wsp:val=&quot;004E7CCA&quot;/&gt;&lt;wsp:rsid wsp:val=&quot;004F12D1&quot;/&gt;&lt;wsp:rsid wsp:val=&quot;004F18F3&quot;/&gt;&lt;wsp:rsid wsp:val=&quot;004F27F7&quot;/&gt;&lt;wsp:rsid wsp:val=&quot;004F5E9A&quot;/&gt;&lt;wsp:rsid wsp:val=&quot;004F69FC&quot;/&gt;&lt;wsp:rsid wsp:val=&quot;005013E1&quot;/&gt;&lt;wsp:rsid wsp:val=&quot;00501682&quot;/&gt;&lt;wsp:rsid wsp:val=&quot;00501BA8&quot;/&gt;&lt;wsp:rsid wsp:val=&quot;0050456A&quot;/&gt;&lt;wsp:rsid wsp:val=&quot;005054A2&quot;/&gt;&lt;wsp:rsid wsp:val=&quot;00505E32&quot;/&gt;&lt;wsp:rsid wsp:val=&quot;00507D56&quot;/&gt;&lt;wsp:rsid wsp:val=&quot;0051123B&quot;/&gt;&lt;wsp:rsid wsp:val=&quot;00511BE1&quot;/&gt;&lt;wsp:rsid wsp:val=&quot;00511CB5&quot;/&gt;&lt;wsp:rsid wsp:val=&quot;0051468B&quot;/&gt;&lt;wsp:rsid wsp:val=&quot;00514F7E&quot;/&gt;&lt;wsp:rsid wsp:val=&quot;0051664F&quot;/&gt;&lt;wsp:rsid wsp:val=&quot;0051752D&quot;/&gt;&lt;wsp:rsid wsp:val=&quot;00520457&quot;/&gt;&lt;wsp:rsid wsp:val=&quot;005271EA&quot;/&gt;&lt;wsp:rsid wsp:val=&quot;00530571&quot;/&gt;&lt;wsp:rsid wsp:val=&quot;0053179F&quot;/&gt;&lt;wsp:rsid wsp:val=&quot;00531DFF&quot;/&gt;&lt;wsp:rsid wsp:val=&quot;00533EB7&quot;/&gt;&lt;wsp:rsid wsp:val=&quot;00535059&quot;/&gt;&lt;wsp:rsid wsp:val=&quot;00535390&quot;/&gt;&lt;wsp:rsid wsp:val=&quot;005353D5&quot;/&gt;&lt;wsp:rsid wsp:val=&quot;00537270&quot;/&gt;&lt;wsp:rsid wsp:val=&quot;00540CF9&quot;/&gt;&lt;wsp:rsid wsp:val=&quot;00541E0F&quot;/&gt;&lt;wsp:rsid wsp:val=&quot;0054256B&quot;/&gt;&lt;wsp:rsid wsp:val=&quot;00543CDC&quot;/&gt;&lt;wsp:rsid wsp:val=&quot;00543EC8&quot;/&gt;&lt;wsp:rsid wsp:val=&quot;0054417C&quot;/&gt;&lt;wsp:rsid wsp:val=&quot;00547318&quot;/&gt;&lt;wsp:rsid wsp:val=&quot;00550145&quot;/&gt;&lt;wsp:rsid wsp:val=&quot;00551157&quot;/&gt;&lt;wsp:rsid wsp:val=&quot;0055150B&quot;/&gt;&lt;wsp:rsid wsp:val=&quot;005517E7&quot;/&gt;&lt;wsp:rsid wsp:val=&quot;00552443&quot;/&gt;&lt;wsp:rsid wsp:val=&quot;0055284D&quot;/&gt;&lt;wsp:rsid wsp:val=&quot;00554214&quot;/&gt;&lt;wsp:rsid wsp:val=&quot;005542F7&quot;/&gt;&lt;wsp:rsid wsp:val=&quot;00555268&quot;/&gt;&lt;wsp:rsid wsp:val=&quot;005552EF&quot;/&gt;&lt;wsp:rsid wsp:val=&quot;00555C80&quot;/&gt;&lt;wsp:rsid wsp:val=&quot;00560D96&quot;/&gt;&lt;wsp:rsid wsp:val=&quot;00561E68&quot;/&gt;&lt;wsp:rsid wsp:val=&quot;00562398&quot;/&gt;&lt;wsp:rsid wsp:val=&quot;00563174&quot;/&gt;&lt;wsp:rsid wsp:val=&quot;00563563&quot;/&gt;&lt;wsp:rsid wsp:val=&quot;00563E21&quot;/&gt;&lt;wsp:rsid wsp:val=&quot;00564071&quot;/&gt;&lt;wsp:rsid wsp:val=&quot;00564775&quot;/&gt;&lt;wsp:rsid wsp:val=&quot;00566017&quot;/&gt;&lt;wsp:rsid wsp:val=&quot;00570C5A&quot;/&gt;&lt;wsp:rsid wsp:val=&quot;00571B3B&quot;/&gt;&lt;wsp:rsid wsp:val=&quot;00571CB8&quot;/&gt;&lt;wsp:rsid wsp:val=&quot;00571E51&quot;/&gt;&lt;wsp:rsid wsp:val=&quot;00571F5F&quot;/&gt;&lt;wsp:rsid wsp:val=&quot;0057295A&quot;/&gt;&lt;wsp:rsid wsp:val=&quot;00572C6A&quot;/&gt;&lt;wsp:rsid wsp:val=&quot;00575C59&quot;/&gt;&lt;wsp:rsid wsp:val=&quot;005770E5&quot;/&gt;&lt;wsp:rsid wsp:val=&quot;0057727A&quot;/&gt;&lt;wsp:rsid wsp:val=&quot;00577469&quot;/&gt;&lt;wsp:rsid wsp:val=&quot;00577474&quot;/&gt;&lt;wsp:rsid wsp:val=&quot;00577C97&quot;/&gt;&lt;wsp:rsid wsp:val=&quot;00577DC4&quot;/&gt;&lt;wsp:rsid wsp:val=&quot;00580D9D&quot;/&gt;&lt;wsp:rsid wsp:val=&quot;0058195A&quot;/&gt;&lt;wsp:rsid wsp:val=&quot;00582660&quot;/&gt;&lt;wsp:rsid wsp:val=&quot;0058321A&quot;/&gt;&lt;wsp:rsid wsp:val=&quot;0058362A&quot;/&gt;&lt;wsp:rsid wsp:val=&quot;005852F0&quot;/&gt;&lt;wsp:rsid wsp:val=&quot;005861EE&quot;/&gt;&lt;wsp:rsid wsp:val=&quot;00587486&quot;/&gt;&lt;wsp:rsid wsp:val=&quot;00590329&quot;/&gt;&lt;wsp:rsid wsp:val=&quot;00590ED2&quot;/&gt;&lt;wsp:rsid wsp:val=&quot;0059100F&quot;/&gt;&lt;wsp:rsid wsp:val=&quot;00592AA2&quot;/&gt;&lt;wsp:rsid wsp:val=&quot;00594A5F&quot;/&gt;&lt;wsp:rsid wsp:val=&quot;005953F7&quot;/&gt;&lt;wsp:rsid wsp:val=&quot;005969E1&quot;/&gt;&lt;wsp:rsid wsp:val=&quot;00596EE0&quot;/&gt;&lt;wsp:rsid wsp:val=&quot;00597F24&quot;/&gt;&lt;wsp:rsid wsp:val=&quot;005A0C5C&quot;/&gt;&lt;wsp:rsid wsp:val=&quot;005A22C3&quot;/&gt;&lt;wsp:rsid wsp:val=&quot;005A2E5F&quot;/&gt;&lt;wsp:rsid wsp:val=&quot;005A3E5E&quot;/&gt;&lt;wsp:rsid wsp:val=&quot;005A4EBC&quot;/&gt;&lt;wsp:rsid wsp:val=&quot;005A55E0&quot;/&gt;&lt;wsp:rsid wsp:val=&quot;005B2D4B&quot;/&gt;&lt;wsp:rsid wsp:val=&quot;005B3868&quot;/&gt;&lt;wsp:rsid wsp:val=&quot;005B3F9F&quot;/&gt;&lt;wsp:rsid wsp:val=&quot;005B4578&quot;/&gt;&lt;wsp:rsid wsp:val=&quot;005B5F68&quot;/&gt;&lt;wsp:rsid wsp:val=&quot;005B63D1&quot;/&gt;&lt;wsp:rsid wsp:val=&quot;005B70BB&quot;/&gt;&lt;wsp:rsid wsp:val=&quot;005C0A12&quot;/&gt;&lt;wsp:rsid wsp:val=&quot;005C16FC&quot;/&gt;&lt;wsp:rsid wsp:val=&quot;005C18FB&quot;/&gt;&lt;wsp:rsid wsp:val=&quot;005C3DCF&quot;/&gt;&lt;wsp:rsid wsp:val=&quot;005C500B&quot;/&gt;&lt;wsp:rsid wsp:val=&quot;005C51F8&quot;/&gt;&lt;wsp:rsid wsp:val=&quot;005C63D2&quot;/&gt;&lt;wsp:rsid wsp:val=&quot;005D0A6F&quot;/&gt;&lt;wsp:rsid wsp:val=&quot;005D1A2D&quot;/&gt;&lt;wsp:rsid wsp:val=&quot;005D1B0E&quot;/&gt;&lt;wsp:rsid wsp:val=&quot;005D2657&quot;/&gt;&lt;wsp:rsid wsp:val=&quot;005D27C7&quot;/&gt;&lt;wsp:rsid wsp:val=&quot;005D3A0D&quot;/&gt;&lt;wsp:rsid wsp:val=&quot;005D4315&quot;/&gt;&lt;wsp:rsid wsp:val=&quot;005D4494&quot;/&gt;&lt;wsp:rsid wsp:val=&quot;005D4FA9&quot;/&gt;&lt;wsp:rsid wsp:val=&quot;005D65FE&quot;/&gt;&lt;wsp:rsid wsp:val=&quot;005D75B6&quot;/&gt;&lt;wsp:rsid wsp:val=&quot;005E2159&quot;/&gt;&lt;wsp:rsid wsp:val=&quot;005E25F7&quot;/&gt;&lt;wsp:rsid wsp:val=&quot;005E2E96&quot;/&gt;&lt;wsp:rsid wsp:val=&quot;005E4B33&quot;/&gt;&lt;wsp:rsid wsp:val=&quot;005E6C9C&quot;/&gt;&lt;wsp:rsid wsp:val=&quot;005F22DD&quot;/&gt;&lt;wsp:rsid wsp:val=&quot;005F2503&quot;/&gt;&lt;wsp:rsid wsp:val=&quot;005F4814&quot;/&gt;&lt;wsp:rsid wsp:val=&quot;005F57D9&quot;/&gt;&lt;wsp:rsid wsp:val=&quot;005F64ED&quot;/&gt;&lt;wsp:rsid wsp:val=&quot;005F7BE6&quot;/&gt;&lt;wsp:rsid wsp:val=&quot;005F7CE2&quot;/&gt;&lt;wsp:rsid wsp:val=&quot;0060152C&quot;/&gt;&lt;wsp:rsid wsp:val=&quot;0060284E&quot;/&gt;&lt;wsp:rsid wsp:val=&quot;00606D5D&quot;/&gt;&lt;wsp:rsid wsp:val=&quot;00610599&quot;/&gt;&lt;wsp:rsid wsp:val=&quot;00611D20&quot;/&gt;&lt;wsp:rsid wsp:val=&quot;00613475&quot;/&gt;&lt;wsp:rsid wsp:val=&quot;00616F66&quot;/&gt;&lt;wsp:rsid wsp:val=&quot;00620370&quot;/&gt;&lt;wsp:rsid wsp:val=&quot;00621124&quot;/&gt;&lt;wsp:rsid wsp:val=&quot;0062133C&quot;/&gt;&lt;wsp:rsid wsp:val=&quot;00621DB9&quot;/&gt;&lt;wsp:rsid wsp:val=&quot;00621FE0&quot;/&gt;&lt;wsp:rsid wsp:val=&quot;006228CC&quot;/&gt;&lt;wsp:rsid wsp:val=&quot;00622E97&quot;/&gt;&lt;wsp:rsid wsp:val=&quot;0062315A&quot;/&gt;&lt;wsp:rsid wsp:val=&quot;00623376&quot;/&gt;&lt;wsp:rsid wsp:val=&quot;006235F5&quot;/&gt;&lt;wsp:rsid wsp:val=&quot;006248C8&quot;/&gt;&lt;wsp:rsid wsp:val=&quot;006251C1&quot;/&gt;&lt;wsp:rsid wsp:val=&quot;00627B4B&quot;/&gt;&lt;wsp:rsid wsp:val=&quot;006318AD&quot;/&gt;&lt;wsp:rsid wsp:val=&quot;00631CDA&quot;/&gt;&lt;wsp:rsid wsp:val=&quot;006337DA&quot;/&gt;&lt;wsp:rsid wsp:val=&quot;006360B1&quot;/&gt;&lt;wsp:rsid wsp:val=&quot;00636E06&quot;/&gt;&lt;wsp:rsid wsp:val=&quot;00637556&quot;/&gt;&lt;wsp:rsid wsp:val=&quot;00642D25&quot;/&gt;&lt;wsp:rsid wsp:val=&quot;00651D65&quot;/&gt;&lt;wsp:rsid wsp:val=&quot;0065341C&quot;/&gt;&lt;wsp:rsid wsp:val=&quot;00655A75&quot;/&gt;&lt;wsp:rsid wsp:val=&quot;006602A7&quot;/&gt;&lt;wsp:rsid wsp:val=&quot;006639FD&quot;/&gt;&lt;wsp:rsid wsp:val=&quot;006646AF&quot;/&gt;&lt;wsp:rsid wsp:val=&quot;00664B82&quot;/&gt;&lt;wsp:rsid wsp:val=&quot;006653E0&quot;/&gt;&lt;wsp:rsid wsp:val=&quot;00665754&quot;/&gt;&lt;wsp:rsid wsp:val=&quot;00666EED&quot;/&gt;&lt;wsp:rsid wsp:val=&quot;0066719E&quot;/&gt;&lt;wsp:rsid wsp:val=&quot;00674BFE&quot;/&gt;&lt;wsp:rsid wsp:val=&quot;00675871&quot;/&gt;&lt;wsp:rsid wsp:val=&quot;00676C01&quot;/&gt;&lt;wsp:rsid wsp:val=&quot;00677C0F&quot;/&gt;&lt;wsp:rsid wsp:val=&quot;006809A1&quot;/&gt;&lt;wsp:rsid wsp:val=&quot;00681C2E&quot;/&gt;&lt;wsp:rsid wsp:val=&quot;006821C9&quot;/&gt;&lt;wsp:rsid wsp:val=&quot;006830D8&quot;/&gt;&lt;wsp:rsid wsp:val=&quot;00683552&quot;/&gt;&lt;wsp:rsid wsp:val=&quot;00684053&quot;/&gt;&lt;wsp:rsid wsp:val=&quot;00684DB0&quot;/&gt;&lt;wsp:rsid wsp:val=&quot;00686908&quot;/&gt;&lt;wsp:rsid wsp:val=&quot;00686EBF&quot;/&gt;&lt;wsp:rsid wsp:val=&quot;00687C4D&quot;/&gt;&lt;wsp:rsid wsp:val=&quot;00687DD3&quot;/&gt;&lt;wsp:rsid wsp:val=&quot;00687E74&quot;/&gt;&lt;wsp:rsid wsp:val=&quot;006903F5&quot;/&gt;&lt;wsp:rsid wsp:val=&quot;00690691&quot;/&gt;&lt;wsp:rsid wsp:val=&quot;006907E1&quot;/&gt;&lt;wsp:rsid wsp:val=&quot;00690C63&quot;/&gt;&lt;wsp:rsid wsp:val=&quot;0069106A&quot;/&gt;&lt;wsp:rsid wsp:val=&quot;0069155D&quot;/&gt;&lt;wsp:rsid wsp:val=&quot;00692114&quot;/&gt;&lt;wsp:rsid wsp:val=&quot;0069240F&quot;/&gt;&lt;wsp:rsid wsp:val=&quot;00693F56&quot;/&gt;&lt;wsp:rsid wsp:val=&quot;006943B8&quot;/&gt;&lt;wsp:rsid wsp:val=&quot;006952A0&quot;/&gt;&lt;wsp:rsid wsp:val=&quot;006952E6&quot;/&gt;&lt;wsp:rsid wsp:val=&quot;006955B8&quot;/&gt;&lt;wsp:rsid wsp:val=&quot;00696D65&quot;/&gt;&lt;wsp:rsid wsp:val=&quot;00696E93&quot;/&gt;&lt;wsp:rsid wsp:val=&quot;006972AF&quot;/&gt;&lt;wsp:rsid wsp:val=&quot;006A03A0&quot;/&gt;&lt;wsp:rsid wsp:val=&quot;006A03D2&quot;/&gt;&lt;wsp:rsid wsp:val=&quot;006A122A&quot;/&gt;&lt;wsp:rsid wsp:val=&quot;006A13BF&quot;/&gt;&lt;wsp:rsid wsp:val=&quot;006A2775&quot;/&gt;&lt;wsp:rsid wsp:val=&quot;006A2862&quot;/&gt;&lt;wsp:rsid wsp:val=&quot;006A286A&quot;/&gt;&lt;wsp:rsid wsp:val=&quot;006A39E3&quot;/&gt;&lt;wsp:rsid wsp:val=&quot;006A43ED&quot;/&gt;&lt;wsp:rsid wsp:val=&quot;006A4ACC&quot;/&gt;&lt;wsp:rsid wsp:val=&quot;006A520D&quot;/&gt;&lt;wsp:rsid wsp:val=&quot;006A6586&quot;/&gt;&lt;wsp:rsid wsp:val=&quot;006A7220&quot;/&gt;&lt;wsp:rsid wsp:val=&quot;006A77E7&quot;/&gt;&lt;wsp:rsid wsp:val=&quot;006A7EE0&quot;/&gt;&lt;wsp:rsid wsp:val=&quot;006A7F93&quot;/&gt;&lt;wsp:rsid wsp:val=&quot;006B0229&quot;/&gt;&lt;wsp:rsid wsp:val=&quot;006B2A30&quot;/&gt;&lt;wsp:rsid wsp:val=&quot;006B3332&quot;/&gt;&lt;wsp:rsid wsp:val=&quot;006B4052&quot;/&gt;&lt;wsp:rsid wsp:val=&quot;006B40DE&quot;/&gt;&lt;wsp:rsid wsp:val=&quot;006B45F8&quot;/&gt;&lt;wsp:rsid wsp:val=&quot;006B4C38&quot;/&gt;&lt;wsp:rsid wsp:val=&quot;006B54B7&quot;/&gt;&lt;wsp:rsid wsp:val=&quot;006B5DDA&quot;/&gt;&lt;wsp:rsid wsp:val=&quot;006C041D&quot;/&gt;&lt;wsp:rsid wsp:val=&quot;006C0D2A&quot;/&gt;&lt;wsp:rsid wsp:val=&quot;006C26F1&quot;/&gt;&lt;wsp:rsid wsp:val=&quot;006C36B6&quot;/&gt;&lt;wsp:rsid wsp:val=&quot;006C3B6C&quot;/&gt;&lt;wsp:rsid wsp:val=&quot;006C4445&quot;/&gt;&lt;wsp:rsid wsp:val=&quot;006C559F&quot;/&gt;&lt;wsp:rsid wsp:val=&quot;006C7C5B&quot;/&gt;&lt;wsp:rsid wsp:val=&quot;006C7DF2&quot;/&gt;&lt;wsp:rsid wsp:val=&quot;006D1B39&quot;/&gt;&lt;wsp:rsid wsp:val=&quot;006D2268&quot;/&gt;&lt;wsp:rsid wsp:val=&quot;006D28EC&quot;/&gt;&lt;wsp:rsid wsp:val=&quot;006D3A0B&quot;/&gt;&lt;wsp:rsid wsp:val=&quot;006D5C09&quot;/&gt;&lt;wsp:rsid wsp:val=&quot;006D69FE&quot;/&gt;&lt;wsp:rsid wsp:val=&quot;006D6BC1&quot;/&gt;&lt;wsp:rsid wsp:val=&quot;006E01C8&quot;/&gt;&lt;wsp:rsid wsp:val=&quot;006E11FF&quot;/&gt;&lt;wsp:rsid wsp:val=&quot;006E22E8&quot;/&gt;&lt;wsp:rsid wsp:val=&quot;006E42AE&quot;/&gt;&lt;wsp:rsid wsp:val=&quot;006E4EA0&quot;/&gt;&lt;wsp:rsid wsp:val=&quot;006E5C35&quot;/&gt;&lt;wsp:rsid wsp:val=&quot;006E6EF7&quot;/&gt;&lt;wsp:rsid wsp:val=&quot;006F248C&quot;/&gt;&lt;wsp:rsid wsp:val=&quot;006F3BDD&quot;/&gt;&lt;wsp:rsid wsp:val=&quot;006F6FBE&quot;/&gt;&lt;wsp:rsid wsp:val=&quot;006F703B&quot;/&gt;&lt;wsp:rsid wsp:val=&quot;006F7332&quot;/&gt;&lt;wsp:rsid wsp:val=&quot;006F73D5&quot;/&gt;&lt;wsp:rsid wsp:val=&quot;006F7883&quot;/&gt;&lt;wsp:rsid wsp:val=&quot;0070040A&quot;/&gt;&lt;wsp:rsid wsp:val=&quot;00700880&quot;/&gt;&lt;wsp:rsid wsp:val=&quot;00700F8C&quot;/&gt;&lt;wsp:rsid wsp:val=&quot;007033A0&quot;/&gt;&lt;wsp:rsid wsp:val=&quot;00703C26&quot;/&gt;&lt;wsp:rsid wsp:val=&quot;00704AF3&quot;/&gt;&lt;wsp:rsid wsp:val=&quot;00704B00&quot;/&gt;&lt;wsp:rsid wsp:val=&quot;00705691&quot;/&gt;&lt;wsp:rsid wsp:val=&quot;0071049F&quot;/&gt;&lt;wsp:rsid wsp:val=&quot;0071116B&quot;/&gt;&lt;wsp:rsid wsp:val=&quot;007118B9&quot;/&gt;&lt;wsp:rsid wsp:val=&quot;0071291C&quot;/&gt;&lt;wsp:rsid wsp:val=&quot;0071333B&quot;/&gt;&lt;wsp:rsid wsp:val=&quot;00713C54&quot;/&gt;&lt;wsp:rsid wsp:val=&quot;0071446C&quot;/&gt;&lt;wsp:rsid wsp:val=&quot;007146E2&quot;/&gt;&lt;wsp:rsid wsp:val=&quot;00715BA2&quot;/&gt;&lt;wsp:rsid wsp:val=&quot;00716C8E&quot;/&gt;&lt;wsp:rsid wsp:val=&quot;0072023A&quot;/&gt;&lt;wsp:rsid wsp:val=&quot;00720561&quot;/&gt;&lt;wsp:rsid wsp:val=&quot;0072225D&quot;/&gt;&lt;wsp:rsid wsp:val=&quot;007233EB&quot;/&gt;&lt;wsp:rsid wsp:val=&quot;00723D96&quot;/&gt;&lt;wsp:rsid wsp:val=&quot;0072549A&quot;/&gt;&lt;wsp:rsid wsp:val=&quot;00725F4D&quot;/&gt;&lt;wsp:rsid wsp:val=&quot;007269C1&quot;/&gt;&lt;wsp:rsid wsp:val=&quot;00727E49&quot;/&gt;&lt;wsp:rsid wsp:val=&quot;007304CC&quot;/&gt;&lt;wsp:rsid wsp:val=&quot;00730FDD&quot;/&gt;&lt;wsp:rsid wsp:val=&quot;00732A97&quot;/&gt;&lt;wsp:rsid wsp:val=&quot;00733099&quot;/&gt;&lt;wsp:rsid wsp:val=&quot;00733F44&quot;/&gt;&lt;wsp:rsid wsp:val=&quot;007343DC&quot;/&gt;&lt;wsp:rsid wsp:val=&quot;00735932&quot;/&gt;&lt;wsp:rsid wsp:val=&quot;00737CBB&quot;/&gt;&lt;wsp:rsid wsp:val=&quot;00737E6A&quot;/&gt;&lt;wsp:rsid wsp:val=&quot;0074206C&quot;/&gt;&lt;wsp:rsid wsp:val=&quot;00742651&quot;/&gt;&lt;wsp:rsid wsp:val=&quot;007436B9&quot;/&gt;&lt;wsp:rsid wsp:val=&quot;00746063&quot;/&gt;&lt;wsp:rsid wsp:val=&quot;00747F51&quot;/&gt;&lt;wsp:rsid wsp:val=&quot;007539EF&quot;/&gt;&lt;wsp:rsid wsp:val=&quot;00756208&quot;/&gt;&lt;wsp:rsid wsp:val=&quot;00756A45&quot;/&gt;&lt;wsp:rsid wsp:val=&quot;00757621&quot;/&gt;&lt;wsp:rsid wsp:val=&quot;00760985&quot;/&gt;&lt;wsp:rsid wsp:val=&quot;007619F1&quot;/&gt;&lt;wsp:rsid wsp:val=&quot;00762F1F&quot;/&gt;&lt;wsp:rsid wsp:val=&quot;007631B2&quot;/&gt;&lt;wsp:rsid wsp:val=&quot;00763D4F&quot;/&gt;&lt;wsp:rsid wsp:val=&quot;00765F6A&quot;/&gt;&lt;wsp:rsid wsp:val=&quot;00767714&quot;/&gt;&lt;wsp:rsid wsp:val=&quot;007678AD&quot;/&gt;&lt;wsp:rsid wsp:val=&quot;00767B76&quot;/&gt;&lt;wsp:rsid wsp:val=&quot;0077171A&quot;/&gt;&lt;wsp:rsid wsp:val=&quot;0077324C&quot;/&gt;&lt;wsp:rsid wsp:val=&quot;00773335&quot;/&gt;&lt;wsp:rsid wsp:val=&quot;00773779&quot;/&gt;&lt;wsp:rsid wsp:val=&quot;00773EAC&quot;/&gt;&lt;wsp:rsid wsp:val=&quot;007746A6&quot;/&gt;&lt;wsp:rsid wsp:val=&quot;00775462&quot;/&gt;&lt;wsp:rsid wsp:val=&quot;0077608B&quot;/&gt;&lt;wsp:rsid wsp:val=&quot;00777482&quot;/&gt;&lt;wsp:rsid wsp:val=&quot;007802E9&quot;/&gt;&lt;wsp:rsid wsp:val=&quot;0078272C&quot;/&gt;&lt;wsp:rsid wsp:val=&quot;00782FDA&quot;/&gt;&lt;wsp:rsid wsp:val=&quot;0078306D&quot;/&gt;&lt;wsp:rsid wsp:val=&quot;0078426E&quot;/&gt;&lt;wsp:rsid wsp:val=&quot;00784EB2&quot;/&gt;&lt;wsp:rsid wsp:val=&quot;00785C4A&quot;/&gt;&lt;wsp:rsid wsp:val=&quot;00785F7C&quot;/&gt;&lt;wsp:rsid wsp:val=&quot;00786D15&quot;/&gt;&lt;wsp:rsid wsp:val=&quot;007906A3&quot;/&gt;&lt;wsp:rsid wsp:val=&quot;00790A50&quot;/&gt;&lt;wsp:rsid wsp:val=&quot;00790BDA&quot;/&gt;&lt;wsp:rsid wsp:val=&quot;00791A60&quot;/&gt;&lt;wsp:rsid wsp:val=&quot;00791C00&quot;/&gt;&lt;wsp:rsid wsp:val=&quot;00792E65&quot;/&gt;&lt;wsp:rsid wsp:val=&quot;00794A3A&quot;/&gt;&lt;wsp:rsid wsp:val=&quot;00794E98&quot;/&gt;&lt;wsp:rsid wsp:val=&quot;00795772&quot;/&gt;&lt;wsp:rsid wsp:val=&quot;007957A1&quot;/&gt;&lt;wsp:rsid wsp:val=&quot;00796401&quot;/&gt;&lt;wsp:rsid wsp:val=&quot;00796ED4&quot;/&gt;&lt;wsp:rsid wsp:val=&quot;0079749A&quot;/&gt;&lt;wsp:rsid wsp:val=&quot;00797BF4&quot;/&gt;&lt;wsp:rsid wsp:val=&quot;007A4819&quot;/&gt;&lt;wsp:rsid wsp:val=&quot;007A4D16&quot;/&gt;&lt;wsp:rsid wsp:val=&quot;007A56EE&quot;/&gt;&lt;wsp:rsid wsp:val=&quot;007A62FC&quot;/&gt;&lt;wsp:rsid wsp:val=&quot;007B092B&quot;/&gt;&lt;wsp:rsid wsp:val=&quot;007B0F8D&quot;/&gt;&lt;wsp:rsid wsp:val=&quot;007B135C&quot;/&gt;&lt;wsp:rsid wsp:val=&quot;007B1A75&quot;/&gt;&lt;wsp:rsid wsp:val=&quot;007B20E0&quot;/&gt;&lt;wsp:rsid wsp:val=&quot;007B4516&quot;/&gt;&lt;wsp:rsid wsp:val=&quot;007B473F&quot;/&gt;&lt;wsp:rsid wsp:val=&quot;007B687E&quot;/&gt;&lt;wsp:rsid wsp:val=&quot;007B6ECA&quot;/&gt;&lt;wsp:rsid wsp:val=&quot;007B7B77&quot;/&gt;&lt;wsp:rsid wsp:val=&quot;007C0045&quot;/&gt;&lt;wsp:rsid wsp:val=&quot;007C0129&quot;/&gt;&lt;wsp:rsid wsp:val=&quot;007C0992&quot;/&gt;&lt;wsp:rsid wsp:val=&quot;007C1054&quot;/&gt;&lt;wsp:rsid wsp:val=&quot;007C18FB&quot;/&gt;&lt;wsp:rsid wsp:val=&quot;007C5749&quot;/&gt;&lt;wsp:rsid wsp:val=&quot;007C5807&quot;/&gt;&lt;wsp:rsid wsp:val=&quot;007C5DC3&quot;/&gt;&lt;wsp:rsid wsp:val=&quot;007C6627&quot;/&gt;&lt;wsp:rsid wsp:val=&quot;007D0208&quot;/&gt;&lt;wsp:rsid wsp:val=&quot;007D1DC2&quot;/&gt;&lt;wsp:rsid wsp:val=&quot;007D50A6&quot;/&gt;&lt;wsp:rsid wsp:val=&quot;007D5112&quot;/&gt;&lt;wsp:rsid wsp:val=&quot;007D68B7&quot;/&gt;&lt;wsp:rsid wsp:val=&quot;007D7DC5&quot;/&gt;&lt;wsp:rsid wsp:val=&quot;007E0466&quot;/&gt;&lt;wsp:rsid wsp:val=&quot;007E064F&quot;/&gt;&lt;wsp:rsid wsp:val=&quot;007E2F04&quot;/&gt;&lt;wsp:rsid wsp:val=&quot;007E47B2&quot;/&gt;&lt;wsp:rsid wsp:val=&quot;007E75F8&quot;/&gt;&lt;wsp:rsid wsp:val=&quot;007F0671&quot;/&gt;&lt;wsp:rsid wsp:val=&quot;007F236B&quot;/&gt;&lt;wsp:rsid wsp:val=&quot;007F3D15&quot;/&gt;&lt;wsp:rsid wsp:val=&quot;007F516D&quot;/&gt;&lt;wsp:rsid wsp:val=&quot;007F5F99&quot;/&gt;&lt;wsp:rsid wsp:val=&quot;007F6465&quot;/&gt;&lt;wsp:rsid wsp:val=&quot;007F66C0&quot;/&gt;&lt;wsp:rsid wsp:val=&quot;007F6DB3&quot;/&gt;&lt;wsp:rsid wsp:val=&quot;007F6E66&quot;/&gt;&lt;wsp:rsid wsp:val=&quot;007F71CC&quot;/&gt;&lt;wsp:rsid wsp:val=&quot;007F748B&quot;/&gt;&lt;wsp:rsid wsp:val=&quot;00800408&quot;/&gt;&lt;wsp:rsid wsp:val=&quot;00800F7D&quot;/&gt;&lt;wsp:rsid wsp:val=&quot;00803D35&quot;/&gt;&lt;wsp:rsid wsp:val=&quot;00803E73&quot;/&gt;&lt;wsp:rsid wsp:val=&quot;008047EE&quot;/&gt;&lt;wsp:rsid wsp:val=&quot;0080630D&quot;/&gt;&lt;wsp:rsid wsp:val=&quot;00806F60&quot;/&gt;&lt;wsp:rsid wsp:val=&quot;00810B61&quot;/&gt;&lt;wsp:rsid wsp:val=&quot;00810BDF&quot;/&gt;&lt;wsp:rsid wsp:val=&quot;0081142F&quot;/&gt;&lt;wsp:rsid wsp:val=&quot;00811720&quot;/&gt;&lt;wsp:rsid wsp:val=&quot;008126EE&quot;/&gt;&lt;wsp:rsid wsp:val=&quot;00812749&quot;/&gt;&lt;wsp:rsid wsp:val=&quot;00812A2D&quot;/&gt;&lt;wsp:rsid wsp:val=&quot;008147D1&quot;/&gt;&lt;wsp:rsid wsp:val=&quot;00815064&quot;/&gt;&lt;wsp:rsid wsp:val=&quot;008150AD&quot;/&gt;&lt;wsp:rsid wsp:val=&quot;00815BBE&quot;/&gt;&lt;wsp:rsid wsp:val=&quot;00824B61&quot;/&gt;&lt;wsp:rsid wsp:val=&quot;00825292&quot;/&gt;&lt;wsp:rsid wsp:val=&quot;008302E5&quot;/&gt;&lt;wsp:rsid wsp:val=&quot;00833317&quot;/&gt;&lt;wsp:rsid wsp:val=&quot;00833363&quot;/&gt;&lt;wsp:rsid wsp:val=&quot;00833852&quot;/&gt;&lt;wsp:rsid wsp:val=&quot;00833C9A&quot;/&gt;&lt;wsp:rsid wsp:val=&quot;00835FDA&quot;/&gt;&lt;wsp:rsid wsp:val=&quot;00836945&quot;/&gt;&lt;wsp:rsid wsp:val=&quot;00841AC5&quot;/&gt;&lt;wsp:rsid wsp:val=&quot;00842E85&quot;/&gt;&lt;wsp:rsid wsp:val=&quot;00843077&quot;/&gt;&lt;wsp:rsid wsp:val=&quot;008432A7&quot;/&gt;&lt;wsp:rsid wsp:val=&quot;008437BC&quot;/&gt;&lt;wsp:rsid wsp:val=&quot;00845100&quot;/&gt;&lt;wsp:rsid wsp:val=&quot;00845611&quot;/&gt;&lt;wsp:rsid wsp:val=&quot;00845EE2&quot;/&gt;&lt;wsp:rsid wsp:val=&quot;008478D4&quot;/&gt;&lt;wsp:rsid wsp:val=&quot;00847EAB&quot;/&gt;&lt;wsp:rsid wsp:val=&quot;00854286&quot;/&gt;&lt;wsp:rsid wsp:val=&quot;0085432E&quot;/&gt;&lt;wsp:rsid wsp:val=&quot;00854393&quot;/&gt;&lt;wsp:rsid wsp:val=&quot;008557E2&quot;/&gt;&lt;wsp:rsid wsp:val=&quot;00855C4D&quot;/&gt;&lt;wsp:rsid wsp:val=&quot;008572E2&quot;/&gt;&lt;wsp:rsid wsp:val=&quot;00857B34&quot;/&gt;&lt;wsp:rsid wsp:val=&quot;008602BC&quot;/&gt;&lt;wsp:rsid wsp:val=&quot;00860D22&quot;/&gt;&lt;wsp:rsid wsp:val=&quot;00862562&quot;/&gt;&lt;wsp:rsid wsp:val=&quot;0086438B&quot;/&gt;&lt;wsp:rsid wsp:val=&quot;008658DF&quot;/&gt;&lt;wsp:rsid wsp:val=&quot;00866230&quot;/&gt;&lt;wsp:rsid wsp:val=&quot;00866545&quot;/&gt;&lt;wsp:rsid wsp:val=&quot;008666D4&quot;/&gt;&lt;wsp:rsid wsp:val=&quot;00867863&quot;/&gt;&lt;wsp:rsid wsp:val=&quot;008707CA&quot;/&gt;&lt;wsp:rsid wsp:val=&quot;00872DF0&quot;/&gt;&lt;wsp:rsid wsp:val=&quot;00872E25&quot;/&gt;&lt;wsp:rsid wsp:val=&quot;00872F80&quot;/&gt;&lt;wsp:rsid wsp:val=&quot;008730EE&quot;/&gt;&lt;wsp:rsid wsp:val=&quot;008739A7&quot;/&gt;&lt;wsp:rsid wsp:val=&quot;00875094&quot;/&gt;&lt;wsp:rsid wsp:val=&quot;00876A67&quot;/&gt;&lt;wsp:rsid wsp:val=&quot;00877420&quot;/&gt;&lt;wsp:rsid wsp:val=&quot;00880EEA&quot;/&gt;&lt;wsp:rsid wsp:val=&quot;00884059&quot;/&gt;&lt;wsp:rsid wsp:val=&quot;00886557&quot;/&gt;&lt;wsp:rsid wsp:val=&quot;0088666B&quot;/&gt;&lt;wsp:rsid wsp:val=&quot;00886C88&quot;/&gt;&lt;wsp:rsid wsp:val=&quot;008919B5&quot;/&gt;&lt;wsp:rsid wsp:val=&quot;00891A41&quot;/&gt;&lt;wsp:rsid wsp:val=&quot;0089211A&quot;/&gt;&lt;wsp:rsid wsp:val=&quot;00894383&quot;/&gt;&lt;wsp:rsid wsp:val=&quot;008949EC&quot;/&gt;&lt;wsp:rsid wsp:val=&quot;00894DE3&quot;/&gt;&lt;wsp:rsid wsp:val=&quot;00895B3D&quot;/&gt;&lt;wsp:rsid wsp:val=&quot;0089773A&quot;/&gt;&lt;wsp:rsid wsp:val=&quot;008A117B&quot;/&gt;&lt;wsp:rsid wsp:val=&quot;008A2B7F&quot;/&gt;&lt;wsp:rsid wsp:val=&quot;008A2BE6&quot;/&gt;&lt;wsp:rsid wsp:val=&quot;008A3176&quot;/&gt;&lt;wsp:rsid wsp:val=&quot;008A4BB5&quot;/&gt;&lt;wsp:rsid wsp:val=&quot;008A6698&quot;/&gt;&lt;wsp:rsid wsp:val=&quot;008B5523&quot;/&gt;&lt;wsp:rsid wsp:val=&quot;008B5F13&quot;/&gt;&lt;wsp:rsid wsp:val=&quot;008B699F&quot;/&gt;&lt;wsp:rsid wsp:val=&quot;008C11E7&quot;/&gt;&lt;wsp:rsid wsp:val=&quot;008C2917&quot;/&gt;&lt;wsp:rsid wsp:val=&quot;008C349B&quot;/&gt;&lt;wsp:rsid wsp:val=&quot;008C4BEE&quot;/&gt;&lt;wsp:rsid wsp:val=&quot;008C522F&quot;/&gt;&lt;wsp:rsid wsp:val=&quot;008C57CF&quot;/&gt;&lt;wsp:rsid wsp:val=&quot;008C5874&quot;/&gt;&lt;wsp:rsid wsp:val=&quot;008C5BF3&quot;/&gt;&lt;wsp:rsid wsp:val=&quot;008C5ECE&quot;/&gt;&lt;wsp:rsid wsp:val=&quot;008C704F&quot;/&gt;&lt;wsp:rsid wsp:val=&quot;008C73FA&quot;/&gt;&lt;wsp:rsid wsp:val=&quot;008C7C81&quot;/&gt;&lt;wsp:rsid wsp:val=&quot;008D045D&quot;/&gt;&lt;wsp:rsid wsp:val=&quot;008D0498&quot;/&gt;&lt;wsp:rsid wsp:val=&quot;008D1A75&quot;/&gt;&lt;wsp:rsid wsp:val=&quot;008D2070&quot;/&gt;&lt;wsp:rsid wsp:val=&quot;008D24B4&quot;/&gt;&lt;wsp:rsid wsp:val=&quot;008D3217&quot;/&gt;&lt;wsp:rsid wsp:val=&quot;008D4AC7&quot;/&gt;&lt;wsp:rsid wsp:val=&quot;008D5177&quot;/&gt;&lt;wsp:rsid wsp:val=&quot;008D5370&quot;/&gt;&lt;wsp:rsid wsp:val=&quot;008D53B5&quot;/&gt;&lt;wsp:rsid wsp:val=&quot;008D6CB4&quot;/&gt;&lt;wsp:rsid wsp:val=&quot;008E24FA&quot;/&gt;&lt;wsp:rsid wsp:val=&quot;008E2F68&quot;/&gt;&lt;wsp:rsid wsp:val=&quot;008E3C85&quot;/&gt;&lt;wsp:rsid wsp:val=&quot;008E45A1&quot;/&gt;&lt;wsp:rsid wsp:val=&quot;008E508C&quot;/&gt;&lt;wsp:rsid wsp:val=&quot;008E53A4&quot;/&gt;&lt;wsp:rsid wsp:val=&quot;008E5708&quot;/&gt;&lt;wsp:rsid wsp:val=&quot;008E7F8A&quot;/&gt;&lt;wsp:rsid wsp:val=&quot;008F01A4&quot;/&gt;&lt;wsp:rsid wsp:val=&quot;008F0CF9&quot;/&gt;&lt;wsp:rsid wsp:val=&quot;008F0F4F&quot;/&gt;&lt;wsp:rsid wsp:val=&quot;008F4EA0&quot;/&gt;&lt;wsp:rsid wsp:val=&quot;008F6C6D&quot;/&gt;&lt;wsp:rsid wsp:val=&quot;008F7045&quot;/&gt;&lt;wsp:rsid wsp:val=&quot;00900BD1&quot;/&gt;&lt;wsp:rsid wsp:val=&quot;00903227&quot;/&gt;&lt;wsp:rsid wsp:val=&quot;009047B0&quot;/&gt;&lt;wsp:rsid wsp:val=&quot;00904EF0&quot;/&gt;&lt;wsp:rsid wsp:val=&quot;00906B79&quot;/&gt;&lt;wsp:rsid wsp:val=&quot;0091005F&quot;/&gt;&lt;wsp:rsid wsp:val=&quot;00910958&quot;/&gt;&lt;wsp:rsid wsp:val=&quot;00912463&quot;/&gt;&lt;wsp:rsid wsp:val=&quot;00912496&quot;/&gt;&lt;wsp:rsid wsp:val=&quot;00912C94&quot;/&gt;&lt;wsp:rsid wsp:val=&quot;00914077&quot;/&gt;&lt;wsp:rsid wsp:val=&quot;0091475A&quot;/&gt;&lt;wsp:rsid wsp:val=&quot;009148F6&quot;/&gt;&lt;wsp:rsid wsp:val=&quot;00914EFF&quot;/&gt;&lt;wsp:rsid wsp:val=&quot;0091669E&quot;/&gt;&lt;wsp:rsid wsp:val=&quot;00916CEE&quot;/&gt;&lt;wsp:rsid wsp:val=&quot;00917232&quot;/&gt;&lt;wsp:rsid wsp:val=&quot;00917E84&quot;/&gt;&lt;wsp:rsid wsp:val=&quot;0092108A&quot;/&gt;&lt;wsp:rsid wsp:val=&quot;00921F0F&quot;/&gt;&lt;wsp:rsid wsp:val=&quot;00921FEF&quot;/&gt;&lt;wsp:rsid wsp:val=&quot;00922E36&quot;/&gt;&lt;wsp:rsid wsp:val=&quot;00924020&quot;/&gt;&lt;wsp:rsid wsp:val=&quot;009259B3&quot;/&gt;&lt;wsp:rsid wsp:val=&quot;009264F4&quot;/&gt;&lt;wsp:rsid wsp:val=&quot;00926B60&quot;/&gt;&lt;wsp:rsid wsp:val=&quot;00926C01&quot;/&gt;&lt;wsp:rsid wsp:val=&quot;0092771A&quot;/&gt;&lt;wsp:rsid wsp:val=&quot;00930521&quot;/&gt;&lt;wsp:rsid wsp:val=&quot;009312C3&quot;/&gt;&lt;wsp:rsid wsp:val=&quot;00932174&quot;/&gt;&lt;wsp:rsid wsp:val=&quot;009329AD&quot;/&gt;&lt;wsp:rsid wsp:val=&quot;00932E82&quot;/&gt;&lt;wsp:rsid wsp:val=&quot;00933FB5&quot;/&gt;&lt;wsp:rsid wsp:val=&quot;00934ED5&quot;/&gt;&lt;wsp:rsid wsp:val=&quot;009363CE&quot;/&gt;&lt;wsp:rsid wsp:val=&quot;00936B4B&quot;/&gt;&lt;wsp:rsid wsp:val=&quot;0093744E&quot;/&gt;&lt;wsp:rsid wsp:val=&quot;00941260&quot;/&gt;&lt;wsp:rsid wsp:val=&quot;009426D5&quot;/&gt;&lt;wsp:rsid wsp:val=&quot;0094335F&quot;/&gt;&lt;wsp:rsid wsp:val=&quot;00944077&quot;/&gt;&lt;wsp:rsid wsp:val=&quot;009441F9&quot;/&gt;&lt;wsp:rsid wsp:val=&quot;00945F25&quot;/&gt;&lt;wsp:rsid wsp:val=&quot;009461CA&quot;/&gt;&lt;wsp:rsid wsp:val=&quot;009502EC&quot;/&gt;&lt;wsp:rsid wsp:val=&quot;00951196&quot;/&gt;&lt;wsp:rsid wsp:val=&quot;009521E6&quot;/&gt;&lt;wsp:rsid wsp:val=&quot;00955C08&quot;/&gt;&lt;wsp:rsid wsp:val=&quot;0095713B&quot;/&gt;&lt;wsp:rsid wsp:val=&quot;00957904&quot;/&gt;&lt;wsp:rsid wsp:val=&quot;00960E21&quot;/&gt;&lt;wsp:rsid wsp:val=&quot;00962605&quot;/&gt;&lt;wsp:rsid wsp:val=&quot;009631D0&quot;/&gt;&lt;wsp:rsid wsp:val=&quot;0096579F&quot;/&gt;&lt;wsp:rsid wsp:val=&quot;00970D6A&quot;/&gt;&lt;wsp:rsid wsp:val=&quot;009711CE&quot;/&gt;&lt;wsp:rsid wsp:val=&quot;009714C6&quot;/&gt;&lt;wsp:rsid wsp:val=&quot;00973A31&quot;/&gt;&lt;wsp:rsid wsp:val=&quot;0097636A&quot;/&gt;&lt;wsp:rsid wsp:val=&quot;0098044F&quot;/&gt;&lt;wsp:rsid wsp:val=&quot;009835E1&quot;/&gt;&lt;wsp:rsid wsp:val=&quot;00984445&quot;/&gt;&lt;wsp:rsid wsp:val=&quot;0098527C&quot;/&gt;&lt;wsp:rsid wsp:val=&quot;00986B76&quot;/&gt;&lt;wsp:rsid wsp:val=&quot;00987340&quot;/&gt;&lt;wsp:rsid wsp:val=&quot;00991D32&quot;/&gt;&lt;wsp:rsid wsp:val=&quot;00992BB5&quot;/&gt;&lt;wsp:rsid wsp:val=&quot;00992F40&quot;/&gt;&lt;wsp:rsid wsp:val=&quot;00993C81&quot;/&gt;&lt;wsp:rsid wsp:val=&quot;00995D62&quot;/&gt;&lt;wsp:rsid wsp:val=&quot;00997B91&quot;/&gt;&lt;wsp:rsid wsp:val=&quot;00997BEC&quot;/&gt;&lt;wsp:rsid wsp:val=&quot;00997F08&quot;/&gt;&lt;wsp:rsid wsp:val=&quot;009A05EE&quot;/&gt;&lt;wsp:rsid wsp:val=&quot;009A250B&quot;/&gt;&lt;wsp:rsid wsp:val=&quot;009A2F25&quot;/&gt;&lt;wsp:rsid wsp:val=&quot;009A4FBC&quot;/&gt;&lt;wsp:rsid wsp:val=&quot;009B0A97&quot;/&gt;&lt;wsp:rsid wsp:val=&quot;009B1493&quot;/&gt;&lt;wsp:rsid wsp:val=&quot;009B25F8&quot;/&gt;&lt;wsp:rsid wsp:val=&quot;009B2B38&quot;/&gt;&lt;wsp:rsid wsp:val=&quot;009B2E48&quot;/&gt;&lt;wsp:rsid wsp:val=&quot;009B334F&quot;/&gt;&lt;wsp:rsid wsp:val=&quot;009B4B3E&quot;/&gt;&lt;wsp:rsid wsp:val=&quot;009B7481&quot;/&gt;&lt;wsp:rsid wsp:val=&quot;009B7964&quot;/&gt;&lt;wsp:rsid wsp:val=&quot;009C008C&quot;/&gt;&lt;wsp:rsid wsp:val=&quot;009C009D&quot;/&gt;&lt;wsp:rsid wsp:val=&quot;009C27DB&quot;/&gt;&lt;wsp:rsid wsp:val=&quot;009C2DE8&quot;/&gt;&lt;wsp:rsid wsp:val=&quot;009C4108&quot;/&gt;&lt;wsp:rsid wsp:val=&quot;009D0AF4&quot;/&gt;&lt;wsp:rsid wsp:val=&quot;009D1886&quot;/&gt;&lt;wsp:rsid wsp:val=&quot;009D3CF2&quot;/&gt;&lt;wsp:rsid wsp:val=&quot;009D57A2&quot;/&gt;&lt;wsp:rsid wsp:val=&quot;009D71A9&quot;/&gt;&lt;wsp:rsid wsp:val=&quot;009D735E&quot;/&gt;&lt;wsp:rsid wsp:val=&quot;009E0D2F&quot;/&gt;&lt;wsp:rsid wsp:val=&quot;009E1021&quot;/&gt;&lt;wsp:rsid wsp:val=&quot;009E129B&quot;/&gt;&lt;wsp:rsid wsp:val=&quot;009E14B8&quot;/&gt;&lt;wsp:rsid wsp:val=&quot;009E1EFA&quot;/&gt;&lt;wsp:rsid wsp:val=&quot;009E2034&quot;/&gt;&lt;wsp:rsid wsp:val=&quot;009E265A&quot;/&gt;&lt;wsp:rsid wsp:val=&quot;009E577E&quot;/&gt;&lt;wsp:rsid wsp:val=&quot;009E57C1&quot;/&gt;&lt;wsp:rsid wsp:val=&quot;009E67D5&quot;/&gt;&lt;wsp:rsid wsp:val=&quot;009E7145&quot;/&gt;&lt;wsp:rsid wsp:val=&quot;009F06E5&quot;/&gt;&lt;wsp:rsid wsp:val=&quot;009F0746&quot;/&gt;&lt;wsp:rsid wsp:val=&quot;009F089F&quot;/&gt;&lt;wsp:rsid wsp:val=&quot;009F194A&quot;/&gt;&lt;wsp:rsid wsp:val=&quot;009F3790&quot;/&gt;&lt;wsp:rsid wsp:val=&quot;009F5702&quot;/&gt;&lt;wsp:rsid wsp:val=&quot;009F5BDF&quot;/&gt;&lt;wsp:rsid wsp:val=&quot;009F5CE2&quot;/&gt;&lt;wsp:rsid wsp:val=&quot;009F6011&quot;/&gt;&lt;wsp:rsid wsp:val=&quot;009F6BBD&quot;/&gt;&lt;wsp:rsid wsp:val=&quot;009F6CBF&quot;/&gt;&lt;wsp:rsid wsp:val=&quot;009F7317&quot;/&gt;&lt;wsp:rsid wsp:val=&quot;009F7F61&quot;/&gt;&lt;wsp:rsid wsp:val=&quot;00A0198C&quot;/&gt;&lt;wsp:rsid wsp:val=&quot;00A02315&quot;/&gt;&lt;wsp:rsid wsp:val=&quot;00A02856&quot;/&gt;&lt;wsp:rsid wsp:val=&quot;00A028DF&quot;/&gt;&lt;wsp:rsid wsp:val=&quot;00A10F5A&quot;/&gt;&lt;wsp:rsid wsp:val=&quot;00A1187C&quot;/&gt;&lt;wsp:rsid wsp:val=&quot;00A12A4E&quot;/&gt;&lt;wsp:rsid wsp:val=&quot;00A137D1&quot;/&gt;&lt;wsp:rsid wsp:val=&quot;00A16786&quot;/&gt;&lt;wsp:rsid wsp:val=&quot;00A222D2&quot;/&gt;&lt;wsp:rsid wsp:val=&quot;00A2348B&quot;/&gt;&lt;wsp:rsid wsp:val=&quot;00A23EC2&quot;/&gt;&lt;wsp:rsid wsp:val=&quot;00A26127&quot;/&gt;&lt;wsp:rsid wsp:val=&quot;00A2656C&quot;/&gt;&lt;wsp:rsid wsp:val=&quot;00A27A8D&quot;/&gt;&lt;wsp:rsid wsp:val=&quot;00A27EA3&quot;/&gt;&lt;wsp:rsid wsp:val=&quot;00A32F59&quot;/&gt;&lt;wsp:rsid wsp:val=&quot;00A34D69&quot;/&gt;&lt;wsp:rsid wsp:val=&quot;00A364C8&quot;/&gt;&lt;wsp:rsid wsp:val=&quot;00A36C78&quot;/&gt;&lt;wsp:rsid wsp:val=&quot;00A409CA&quot;/&gt;&lt;wsp:rsid wsp:val=&quot;00A40EE0&quot;/&gt;&lt;wsp:rsid wsp:val=&quot;00A41E36&quot;/&gt;&lt;wsp:rsid wsp:val=&quot;00A42228&quot;/&gt;&lt;wsp:rsid wsp:val=&quot;00A4281C&quot;/&gt;&lt;wsp:rsid wsp:val=&quot;00A42924&quot;/&gt;&lt;wsp:rsid wsp:val=&quot;00A42D29&quot;/&gt;&lt;wsp:rsid wsp:val=&quot;00A42FF4&quot;/&gt;&lt;wsp:rsid wsp:val=&quot;00A44624&quot;/&gt;&lt;wsp:rsid wsp:val=&quot;00A44DE3&quot;/&gt;&lt;wsp:rsid wsp:val=&quot;00A45B90&quot;/&gt;&lt;wsp:rsid wsp:val=&quot;00A463CF&quot;/&gt;&lt;wsp:rsid wsp:val=&quot;00A46FF0&quot;/&gt;&lt;wsp:rsid wsp:val=&quot;00A517C3&quot;/&gt;&lt;wsp:rsid wsp:val=&quot;00A51EB6&quot;/&gt;&lt;wsp:rsid wsp:val=&quot;00A5270E&quot;/&gt;&lt;wsp:rsid wsp:val=&quot;00A54067&quot;/&gt;&lt;wsp:rsid wsp:val=&quot;00A54585&quot;/&gt;&lt;wsp:rsid wsp:val=&quot;00A56FAB&quot;/&gt;&lt;wsp:rsid wsp:val=&quot;00A57B6D&quot;/&gt;&lt;wsp:rsid wsp:val=&quot;00A60C3B&quot;/&gt;&lt;wsp:rsid wsp:val=&quot;00A6185E&quot;/&gt;&lt;wsp:rsid wsp:val=&quot;00A61C41&quot;/&gt;&lt;wsp:rsid wsp:val=&quot;00A627E4&quot;/&gt;&lt;wsp:rsid wsp:val=&quot;00A628A4&quot;/&gt;&lt;wsp:rsid wsp:val=&quot;00A62EF8&quot;/&gt;&lt;wsp:rsid wsp:val=&quot;00A63062&quot;/&gt;&lt;wsp:rsid wsp:val=&quot;00A63357&quot;/&gt;&lt;wsp:rsid wsp:val=&quot;00A64AC1&quot;/&gt;&lt;wsp:rsid wsp:val=&quot;00A67CA8&quot;/&gt;&lt;wsp:rsid wsp:val=&quot;00A71327&quot;/&gt;&lt;wsp:rsid wsp:val=&quot;00A7200A&quot;/&gt;&lt;wsp:rsid wsp:val=&quot;00A727CE&quot;/&gt;&lt;wsp:rsid wsp:val=&quot;00A72EED&quot;/&gt;&lt;wsp:rsid wsp:val=&quot;00A72FAE&quot;/&gt;&lt;wsp:rsid wsp:val=&quot;00A736FC&quot;/&gt;&lt;wsp:rsid wsp:val=&quot;00A73B28&quot;/&gt;&lt;wsp:rsid wsp:val=&quot;00A75603&quot;/&gt;&lt;wsp:rsid wsp:val=&quot;00A767A7&quot;/&gt;&lt;wsp:rsid wsp:val=&quot;00A81E70&quot;/&gt;&lt;wsp:rsid wsp:val=&quot;00A82B9B&quot;/&gt;&lt;wsp:rsid wsp:val=&quot;00A8345B&quot;/&gt;&lt;wsp:rsid wsp:val=&quot;00A83E88&quot;/&gt;&lt;wsp:rsid wsp:val=&quot;00A84B68&quot;/&gt;&lt;wsp:rsid wsp:val=&quot;00A86251&quot;/&gt;&lt;wsp:rsid wsp:val=&quot;00A86A1A&quot;/&gt;&lt;wsp:rsid wsp:val=&quot;00A908B1&quot;/&gt;&lt;wsp:rsid wsp:val=&quot;00A93175&quot;/&gt;&lt;wsp:rsid wsp:val=&quot;00A93406&quot;/&gt;&lt;wsp:rsid wsp:val=&quot;00A95E89&quot;/&gt;&lt;wsp:rsid wsp:val=&quot;00A965BB&quot;/&gt;&lt;wsp:rsid wsp:val=&quot;00A970E2&quot;/&gt;&lt;wsp:rsid wsp:val=&quot;00AA0044&quot;/&gt;&lt;wsp:rsid wsp:val=&quot;00AA028D&quot;/&gt;&lt;wsp:rsid wsp:val=&quot;00AA02A4&quot;/&gt;&lt;wsp:rsid wsp:val=&quot;00AA19C6&quot;/&gt;&lt;wsp:rsid wsp:val=&quot;00AA1BCD&quot;/&gt;&lt;wsp:rsid wsp:val=&quot;00AA3EE0&quot;/&gt;&lt;wsp:rsid wsp:val=&quot;00AA5D9F&quot;/&gt;&lt;wsp:rsid wsp:val=&quot;00AB1847&quot;/&gt;&lt;wsp:rsid wsp:val=&quot;00AB2A65&quot;/&gt;&lt;wsp:rsid wsp:val=&quot;00AB3244&quot;/&gt;&lt;wsp:rsid wsp:val=&quot;00AC0830&quot;/&gt;&lt;wsp:rsid wsp:val=&quot;00AC1596&quot;/&gt;&lt;wsp:rsid wsp:val=&quot;00AC28E5&quot;/&gt;&lt;wsp:rsid wsp:val=&quot;00AC4A2E&quot;/&gt;&lt;wsp:rsid wsp:val=&quot;00AC4C19&quot;/&gt;&lt;wsp:rsid wsp:val=&quot;00AC4C4D&quot;/&gt;&lt;wsp:rsid wsp:val=&quot;00AC6D57&quot;/&gt;&lt;wsp:rsid wsp:val=&quot;00AD037F&quot;/&gt;&lt;wsp:rsid wsp:val=&quot;00AD20A3&quot;/&gt;&lt;wsp:rsid wsp:val=&quot;00AD535E&quot;/&gt;&lt;wsp:rsid wsp:val=&quot;00AD5C76&quot;/&gt;&lt;wsp:rsid wsp:val=&quot;00AD6CEB&quot;/&gt;&lt;wsp:rsid wsp:val=&quot;00AD764A&quot;/&gt;&lt;wsp:rsid wsp:val=&quot;00AE262D&quot;/&gt;&lt;wsp:rsid wsp:val=&quot;00AE34DC&quot;/&gt;&lt;wsp:rsid wsp:val=&quot;00AE366A&quot;/&gt;&lt;wsp:rsid wsp:val=&quot;00AE51D4&quot;/&gt;&lt;wsp:rsid wsp:val=&quot;00AE520A&quot;/&gt;&lt;wsp:rsid wsp:val=&quot;00AE6CEC&quot;/&gt;&lt;wsp:rsid wsp:val=&quot;00AE750F&quot;/&gt;&lt;wsp:rsid wsp:val=&quot;00AE7C5C&quot;/&gt;&lt;wsp:rsid wsp:val=&quot;00AE7ECD&quot;/&gt;&lt;wsp:rsid wsp:val=&quot;00AF0F65&quot;/&gt;&lt;wsp:rsid wsp:val=&quot;00AF47A0&quot;/&gt;&lt;wsp:rsid wsp:val=&quot;00AF5112&quot;/&gt;&lt;wsp:rsid wsp:val=&quot;00AF7D71&quot;/&gt;&lt;wsp:rsid wsp:val=&quot;00AF7D95&quot;/&gt;&lt;wsp:rsid wsp:val=&quot;00B00590&quot;/&gt;&lt;wsp:rsid wsp:val=&quot;00B0253C&quot;/&gt;&lt;wsp:rsid wsp:val=&quot;00B03400&quot;/&gt;&lt;wsp:rsid wsp:val=&quot;00B034A5&quot;/&gt;&lt;wsp:rsid wsp:val=&quot;00B03D41&quot;/&gt;&lt;wsp:rsid wsp:val=&quot;00B04AD8&quot;/&gt;&lt;wsp:rsid wsp:val=&quot;00B05057&quot;/&gt;&lt;wsp:rsid wsp:val=&quot;00B05B0C&quot;/&gt;&lt;wsp:rsid wsp:val=&quot;00B05FC6&quot;/&gt;&lt;wsp:rsid wsp:val=&quot;00B0791D&quot;/&gt;&lt;wsp:rsid wsp:val=&quot;00B07C85&quot;/&gt;&lt;wsp:rsid wsp:val=&quot;00B13355&quot;/&gt;&lt;wsp:rsid wsp:val=&quot;00B135D3&quot;/&gt;&lt;wsp:rsid wsp:val=&quot;00B14698&quot;/&gt;&lt;wsp:rsid wsp:val=&quot;00B166C6&quot;/&gt;&lt;wsp:rsid wsp:val=&quot;00B17431&quot;/&gt;&lt;wsp:rsid wsp:val=&quot;00B20338&quot;/&gt;&lt;wsp:rsid wsp:val=&quot;00B204AB&quot;/&gt;&lt;wsp:rsid wsp:val=&quot;00B206EF&quot;/&gt;&lt;wsp:rsid wsp:val=&quot;00B20D0B&quot;/&gt;&lt;wsp:rsid wsp:val=&quot;00B21EB9&quot;/&gt;&lt;wsp:rsid wsp:val=&quot;00B222E3&quot;/&gt;&lt;wsp:rsid wsp:val=&quot;00B23080&quot;/&gt;&lt;wsp:rsid wsp:val=&quot;00B23382&quot;/&gt;&lt;wsp:rsid wsp:val=&quot;00B25AE6&quot;/&gt;&lt;wsp:rsid wsp:val=&quot;00B27872&quot;/&gt;&lt;wsp:rsid wsp:val=&quot;00B303A0&quot;/&gt;&lt;wsp:rsid wsp:val=&quot;00B33C35&quot;/&gt;&lt;wsp:rsid wsp:val=&quot;00B368D9&quot;/&gt;&lt;wsp:rsid wsp:val=&quot;00B37F12&quot;/&gt;&lt;wsp:rsid wsp:val=&quot;00B4298F&quot;/&gt;&lt;wsp:rsid wsp:val=&quot;00B50DED&quot;/&gt;&lt;wsp:rsid wsp:val=&quot;00B51A62&quot;/&gt;&lt;wsp:rsid wsp:val=&quot;00B52A49&quot;/&gt;&lt;wsp:rsid wsp:val=&quot;00B53C57&quot;/&gt;&lt;wsp:rsid wsp:val=&quot;00B55DE3&quot;/&gt;&lt;wsp:rsid wsp:val=&quot;00B564F4&quot;/&gt;&lt;wsp:rsid wsp:val=&quot;00B605F1&quot;/&gt;&lt;wsp:rsid wsp:val=&quot;00B60D45&quot;/&gt;&lt;wsp:rsid wsp:val=&quot;00B61D31&quot;/&gt;&lt;wsp:rsid wsp:val=&quot;00B6297D&quot;/&gt;&lt;wsp:rsid wsp:val=&quot;00B647C7&quot;/&gt;&lt;wsp:rsid wsp:val=&quot;00B66A67&quot;/&gt;&lt;wsp:rsid wsp:val=&quot;00B67C63&quot;/&gt;&lt;wsp:rsid wsp:val=&quot;00B709F2&quot;/&gt;&lt;wsp:rsid wsp:val=&quot;00B70CC4&quot;/&gt;&lt;wsp:rsid wsp:val=&quot;00B70DCA&quot;/&gt;&lt;wsp:rsid wsp:val=&quot;00B72231&quot;/&gt;&lt;wsp:rsid wsp:val=&quot;00B72311&quot;/&gt;&lt;wsp:rsid wsp:val=&quot;00B7318E&quot;/&gt;&lt;wsp:rsid wsp:val=&quot;00B73324&quot;/&gt;&lt;wsp:rsid wsp:val=&quot;00B74527&quot;/&gt;&lt;wsp:rsid wsp:val=&quot;00B74767&quot;/&gt;&lt;wsp:rsid wsp:val=&quot;00B761D3&quot;/&gt;&lt;wsp:rsid wsp:val=&quot;00B76FCC&quot;/&gt;&lt;wsp:rsid wsp:val=&quot;00B800BD&quot;/&gt;&lt;wsp:rsid wsp:val=&quot;00B807EE&quot;/&gt;&lt;wsp:rsid wsp:val=&quot;00B814F9&quot;/&gt;&lt;wsp:rsid wsp:val=&quot;00B82D0D&quot;/&gt;&lt;wsp:rsid wsp:val=&quot;00B84623&quot;/&gt;&lt;wsp:rsid wsp:val=&quot;00B84810&quot;/&gt;&lt;wsp:rsid wsp:val=&quot;00B86CBF&quot;/&gt;&lt;wsp:rsid wsp:val=&quot;00B8786A&quot;/&gt;&lt;wsp:rsid wsp:val=&quot;00B91868&quot;/&gt;&lt;wsp:rsid wsp:val=&quot;00B91ED5&quot;/&gt;&lt;wsp:rsid wsp:val=&quot;00B92EBD&quot;/&gt;&lt;wsp:rsid wsp:val=&quot;00B938A2&quot;/&gt;&lt;wsp:rsid wsp:val=&quot;00B950C7&quot;/&gt;&lt;wsp:rsid wsp:val=&quot;00B96B7D&quot;/&gt;&lt;wsp:rsid wsp:val=&quot;00B97780&quot;/&gt;&lt;wsp:rsid wsp:val=&quot;00B97930&quot;/&gt;&lt;wsp:rsid wsp:val=&quot;00BA1D29&quot;/&gt;&lt;wsp:rsid wsp:val=&quot;00BA3B46&quot;/&gt;&lt;wsp:rsid wsp:val=&quot;00BA4154&quot;/&gt;&lt;wsp:rsid wsp:val=&quot;00BA4610&quot;/&gt;&lt;wsp:rsid wsp:val=&quot;00BA5150&quot;/&gt;&lt;wsp:rsid wsp:val=&quot;00BA6859&quot;/&gt;&lt;wsp:rsid wsp:val=&quot;00BA71C9&quot;/&gt;&lt;wsp:rsid wsp:val=&quot;00BB05FD&quot;/&gt;&lt;wsp:rsid wsp:val=&quot;00BB10B5&quot;/&gt;&lt;wsp:rsid wsp:val=&quot;00BB155B&quot;/&gt;&lt;wsp:rsid wsp:val=&quot;00BB1662&quot;/&gt;&lt;wsp:rsid wsp:val=&quot;00BB2AD3&quot;/&gt;&lt;wsp:rsid wsp:val=&quot;00BB3A55&quot;/&gt;&lt;wsp:rsid wsp:val=&quot;00BB4E9C&quot;/&gt;&lt;wsp:rsid wsp:val=&quot;00BB7B69&quot;/&gt;&lt;wsp:rsid wsp:val=&quot;00BC025F&quot;/&gt;&lt;wsp:rsid wsp:val=&quot;00BC1F64&quot;/&gt;&lt;wsp:rsid wsp:val=&quot;00BC28B9&quot;/&gt;&lt;wsp:rsid wsp:val=&quot;00BC374D&quot;/&gt;&lt;wsp:rsid wsp:val=&quot;00BC3B39&quot;/&gt;&lt;wsp:rsid wsp:val=&quot;00BC406C&quot;/&gt;&lt;wsp:rsid wsp:val=&quot;00BC488D&quot;/&gt;&lt;wsp:rsid wsp:val=&quot;00BC58A7&quot;/&gt;&lt;wsp:rsid wsp:val=&quot;00BC7291&quot;/&gt;&lt;wsp:rsid wsp:val=&quot;00BD0A79&quot;/&gt;&lt;wsp:rsid wsp:val=&quot;00BD0AA1&quot;/&gt;&lt;wsp:rsid wsp:val=&quot;00BD11A4&quot;/&gt;&lt;wsp:rsid wsp:val=&quot;00BD17C8&quot;/&gt;&lt;wsp:rsid wsp:val=&quot;00BD1B1C&quot;/&gt;&lt;wsp:rsid wsp:val=&quot;00BD217A&quot;/&gt;&lt;wsp:rsid wsp:val=&quot;00BD23DF&quot;/&gt;&lt;wsp:rsid wsp:val=&quot;00BD48AF&quot;/&gt;&lt;wsp:rsid wsp:val=&quot;00BD4A79&quot;/&gt;&lt;wsp:rsid wsp:val=&quot;00BD5964&quot;/&gt;&lt;wsp:rsid wsp:val=&quot;00BD7C03&quot;/&gt;&lt;wsp:rsid wsp:val=&quot;00BE07D7&quot;/&gt;&lt;wsp:rsid wsp:val=&quot;00BE0C33&quot;/&gt;&lt;wsp:rsid wsp:val=&quot;00BE421C&quot;/&gt;&lt;wsp:rsid wsp:val=&quot;00BE6278&quot;/&gt;&lt;wsp:rsid wsp:val=&quot;00BE76E1&quot;/&gt;&lt;wsp:rsid wsp:val=&quot;00BE781B&quot;/&gt;&lt;wsp:rsid wsp:val=&quot;00BE7EAA&quot;/&gt;&lt;wsp:rsid wsp:val=&quot;00BF3384&quot;/&gt;&lt;wsp:rsid wsp:val=&quot;00BF4DF4&quot;/&gt;&lt;wsp:rsid wsp:val=&quot;00BF601B&quot;/&gt;&lt;wsp:rsid wsp:val=&quot;00C004DC&quot;/&gt;&lt;wsp:rsid wsp:val=&quot;00C004E6&quot;/&gt;&lt;wsp:rsid wsp:val=&quot;00C01F75&quot;/&gt;&lt;wsp:rsid wsp:val=&quot;00C02ED2&quot;/&gt;&lt;wsp:rsid wsp:val=&quot;00C04CEC&quot;/&gt;&lt;wsp:rsid wsp:val=&quot;00C05CD3&quot;/&gt;&lt;wsp:rsid wsp:val=&quot;00C05DE7&quot;/&gt;&lt;wsp:rsid wsp:val=&quot;00C073ED&quot;/&gt;&lt;wsp:rsid wsp:val=&quot;00C1037F&quot;/&gt;&lt;wsp:rsid wsp:val=&quot;00C109E5&quot;/&gt;&lt;wsp:rsid wsp:val=&quot;00C14287&quot;/&gt;&lt;wsp:rsid wsp:val=&quot;00C1451D&quot;/&gt;&lt;wsp:rsid wsp:val=&quot;00C1560A&quot;/&gt;&lt;wsp:rsid wsp:val=&quot;00C17590&quot;/&gt;&lt;wsp:rsid wsp:val=&quot;00C219B2&quot;/&gt;&lt;wsp:rsid wsp:val=&quot;00C228E6&quot;/&gt;&lt;wsp:rsid wsp:val=&quot;00C23B50&quot;/&gt;&lt;wsp:rsid wsp:val=&quot;00C2558C&quot;/&gt;&lt;wsp:rsid wsp:val=&quot;00C25F09&quot;/&gt;&lt;wsp:rsid wsp:val=&quot;00C273E4&quot;/&gt;&lt;wsp:rsid wsp:val=&quot;00C312FA&quot;/&gt;&lt;wsp:rsid wsp:val=&quot;00C3131B&quot;/&gt;&lt;wsp:rsid wsp:val=&quot;00C34254&quot;/&gt;&lt;wsp:rsid wsp:val=&quot;00C37628&quot;/&gt;&lt;wsp:rsid wsp:val=&quot;00C4084C&quot;/&gt;&lt;wsp:rsid wsp:val=&quot;00C40C0B&quot;/&gt;&lt;wsp:rsid wsp:val=&quot;00C41DE0&quot;/&gt;&lt;wsp:rsid wsp:val=&quot;00C449C9&quot;/&gt;&lt;wsp:rsid wsp:val=&quot;00C45F69&quot;/&gt;&lt;wsp:rsid wsp:val=&quot;00C46CE5&quot;/&gt;&lt;wsp:rsid wsp:val=&quot;00C507B8&quot;/&gt;&lt;wsp:rsid wsp:val=&quot;00C515FD&quot;/&gt;&lt;wsp:rsid wsp:val=&quot;00C5227E&quot;/&gt;&lt;wsp:rsid wsp:val=&quot;00C524F6&quot;/&gt;&lt;wsp:rsid wsp:val=&quot;00C52FE9&quot;/&gt;&lt;wsp:rsid wsp:val=&quot;00C57456&quot;/&gt;&lt;wsp:rsid wsp:val=&quot;00C57521&quot;/&gt;&lt;wsp:rsid wsp:val=&quot;00C60806&quot;/&gt;&lt;wsp:rsid wsp:val=&quot;00C64CB5&quot;/&gt;&lt;wsp:rsid wsp:val=&quot;00C65348&quot;/&gt;&lt;wsp:rsid wsp:val=&quot;00C729A9&quot;/&gt;&lt;wsp:rsid wsp:val=&quot;00C737C5&quot;/&gt;&lt;wsp:rsid wsp:val=&quot;00C73DC9&quot;/&gt;&lt;wsp:rsid wsp:val=&quot;00C74BB9&quot;/&gt;&lt;wsp:rsid wsp:val=&quot;00C808EC&quot;/&gt;&lt;wsp:rsid wsp:val=&quot;00C835DD&quot;/&gt;&lt;wsp:rsid wsp:val=&quot;00C84EBA&quot;/&gt;&lt;wsp:rsid wsp:val=&quot;00C85562&quot;/&gt;&lt;wsp:rsid wsp:val=&quot;00C86488&quot;/&gt;&lt;wsp:rsid wsp:val=&quot;00C87855&quot;/&gt;&lt;wsp:rsid wsp:val=&quot;00C931AD&quot;/&gt;&lt;wsp:rsid wsp:val=&quot;00C944AF&quot;/&gt;&lt;wsp:rsid wsp:val=&quot;00C947B5&quot;/&gt;&lt;wsp:rsid wsp:val=&quot;00C94F36&quot;/&gt;&lt;wsp:rsid wsp:val=&quot;00C97D58&quot;/&gt;&lt;wsp:rsid wsp:val=&quot;00CA075D&quot;/&gt;&lt;wsp:rsid wsp:val=&quot;00CA1A24&quot;/&gt;&lt;wsp:rsid wsp:val=&quot;00CA397E&quot;/&gt;&lt;wsp:rsid wsp:val=&quot;00CA653D&quot;/&gt;&lt;wsp:rsid wsp:val=&quot;00CB0F1A&quot;/&gt;&lt;wsp:rsid wsp:val=&quot;00CB19B7&quot;/&gt;&lt;wsp:rsid wsp:val=&quot;00CB28AA&quot;/&gt;&lt;wsp:rsid wsp:val=&quot;00CB3A6D&quot;/&gt;&lt;wsp:rsid wsp:val=&quot;00CB4592&quot;/&gt;&lt;wsp:rsid wsp:val=&quot;00CB4A2B&quot;/&gt;&lt;wsp:rsid wsp:val=&quot;00CB73D4&quot;/&gt;&lt;wsp:rsid wsp:val=&quot;00CB776F&quot;/&gt;&lt;wsp:rsid wsp:val=&quot;00CB7C02&quot;/&gt;&lt;wsp:rsid wsp:val=&quot;00CC025B&quot;/&gt;&lt;wsp:rsid wsp:val=&quot;00CC0474&quot;/&gt;&lt;wsp:rsid wsp:val=&quot;00CC3B35&quot;/&gt;&lt;wsp:rsid wsp:val=&quot;00CC4150&quot;/&gt;&lt;wsp:rsid wsp:val=&quot;00CC450C&quot;/&gt;&lt;wsp:rsid wsp:val=&quot;00CC50BE&quot;/&gt;&lt;wsp:rsid wsp:val=&quot;00CC7F4D&quot;/&gt;&lt;wsp:rsid wsp:val=&quot;00CD1A9C&quot;/&gt;&lt;wsp:rsid wsp:val=&quot;00CD25F1&quot;/&gt;&lt;wsp:rsid wsp:val=&quot;00CD44C7&quot;/&gt;&lt;wsp:rsid wsp:val=&quot;00CD4F69&quot;/&gt;&lt;wsp:rsid wsp:val=&quot;00CD5A7E&quot;/&gt;&lt;wsp:rsid wsp:val=&quot;00CD6FAC&quot;/&gt;&lt;wsp:rsid wsp:val=&quot;00CD6FFF&quot;/&gt;&lt;wsp:rsid wsp:val=&quot;00CD7922&quot;/&gt;&lt;wsp:rsid wsp:val=&quot;00CE0400&quot;/&gt;&lt;wsp:rsid wsp:val=&quot;00CE0E59&quot;/&gt;&lt;wsp:rsid wsp:val=&quot;00CE13D1&quot;/&gt;&lt;wsp:rsid wsp:val=&quot;00CE1BDE&quot;/&gt;&lt;wsp:rsid wsp:val=&quot;00CE264D&quot;/&gt;&lt;wsp:rsid wsp:val=&quot;00CE3256&quot;/&gt;&lt;wsp:rsid wsp:val=&quot;00CE3DE9&quot;/&gt;&lt;wsp:rsid wsp:val=&quot;00CE5269&quot;/&gt;&lt;wsp:rsid wsp:val=&quot;00CE56E3&quot;/&gt;&lt;wsp:rsid wsp:val=&quot;00CE7A34&quot;/&gt;&lt;wsp:rsid wsp:val=&quot;00CF0118&quot;/&gt;&lt;wsp:rsid wsp:val=&quot;00CF0296&quot;/&gt;&lt;wsp:rsid wsp:val=&quot;00CF039E&quot;/&gt;&lt;wsp:rsid wsp:val=&quot;00CF0758&quot;/&gt;&lt;wsp:rsid wsp:val=&quot;00CF0B5D&quot;/&gt;&lt;wsp:rsid wsp:val=&quot;00CF28CB&quot;/&gt;&lt;wsp:rsid wsp:val=&quot;00CF3B90&quot;/&gt;&lt;wsp:rsid wsp:val=&quot;00CF67BE&quot;/&gt;&lt;wsp:rsid wsp:val=&quot;00D00578&quot;/&gt;&lt;wsp:rsid wsp:val=&quot;00D01011&quot;/&gt;&lt;wsp:rsid wsp:val=&quot;00D016A6&quot;/&gt;&lt;wsp:rsid wsp:val=&quot;00D03119&quot;/&gt;&lt;wsp:rsid wsp:val=&quot;00D03713&quot;/&gt;&lt;wsp:rsid wsp:val=&quot;00D0485B&quot;/&gt;&lt;wsp:rsid wsp:val=&quot;00D05E32&quot;/&gt;&lt;wsp:rsid wsp:val=&quot;00D07B7D&quot;/&gt;&lt;wsp:rsid wsp:val=&quot;00D1198B&quot;/&gt;&lt;wsp:rsid wsp:val=&quot;00D122BD&quot;/&gt;&lt;wsp:rsid wsp:val=&quot;00D15E8D&quot;/&gt;&lt;wsp:rsid wsp:val=&quot;00D17EDD&quot;/&gt;&lt;wsp:rsid wsp:val=&quot;00D208B9&quot;/&gt;&lt;wsp:rsid wsp:val=&quot;00D20D79&quot;/&gt;&lt;wsp:rsid wsp:val=&quot;00D2106F&quot;/&gt;&lt;wsp:rsid wsp:val=&quot;00D22F52&quot;/&gt;&lt;wsp:rsid wsp:val=&quot;00D258C8&quot;/&gt;&lt;wsp:rsid wsp:val=&quot;00D26220&quot;/&gt;&lt;wsp:rsid wsp:val=&quot;00D32B3D&quot;/&gt;&lt;wsp:rsid wsp:val=&quot;00D336B5&quot;/&gt;&lt;wsp:rsid wsp:val=&quot;00D34B25&quot;/&gt;&lt;wsp:rsid wsp:val=&quot;00D34EEF&quot;/&gt;&lt;wsp:rsid wsp:val=&quot;00D3681C&quot;/&gt;&lt;wsp:rsid wsp:val=&quot;00D374E2&quot;/&gt;&lt;wsp:rsid wsp:val=&quot;00D375EF&quot;/&gt;&lt;wsp:rsid wsp:val=&quot;00D403BE&quot;/&gt;&lt;wsp:rsid wsp:val=&quot;00D413BA&quot;/&gt;&lt;wsp:rsid wsp:val=&quot;00D4177B&quot;/&gt;&lt;wsp:rsid wsp:val=&quot;00D4245C&quot;/&gt;&lt;wsp:rsid wsp:val=&quot;00D426D8&quot;/&gt;&lt;wsp:rsid wsp:val=&quot;00D42CFF&quot;/&gt;&lt;wsp:rsid wsp:val=&quot;00D434D8&quot;/&gt;&lt;wsp:rsid wsp:val=&quot;00D436FF&quot;/&gt;&lt;wsp:rsid wsp:val=&quot;00D447E0&quot;/&gt;&lt;wsp:rsid wsp:val=&quot;00D44992&quot;/&gt;&lt;wsp:rsid wsp:val=&quot;00D4516B&quot;/&gt;&lt;wsp:rsid wsp:val=&quot;00D45FDD&quot;/&gt;&lt;wsp:rsid wsp:val=&quot;00D47344&quot;/&gt;&lt;wsp:rsid wsp:val=&quot;00D47590&quot;/&gt;&lt;wsp:rsid wsp:val=&quot;00D47D5F&quot;/&gt;&lt;wsp:rsid wsp:val=&quot;00D50671&quot;/&gt;&lt;wsp:rsid wsp:val=&quot;00D50C9B&quot;/&gt;&lt;wsp:rsid wsp:val=&quot;00D51006&quot;/&gt;&lt;wsp:rsid wsp:val=&quot;00D51321&quot;/&gt;&lt;wsp:rsid wsp:val=&quot;00D51772&quot;/&gt;&lt;wsp:rsid wsp:val=&quot;00D5197D&quot;/&gt;&lt;wsp:rsid wsp:val=&quot;00D51CF1&quot;/&gt;&lt;wsp:rsid wsp:val=&quot;00D52BD4&quot;/&gt;&lt;wsp:rsid wsp:val=&quot;00D5472B&quot;/&gt;&lt;wsp:rsid wsp:val=&quot;00D54C6C&quot;/&gt;&lt;wsp:rsid wsp:val=&quot;00D54DBB&quot;/&gt;&lt;wsp:rsid wsp:val=&quot;00D55271&quot;/&gt;&lt;wsp:rsid wsp:val=&quot;00D57E49&quot;/&gt;&lt;wsp:rsid wsp:val=&quot;00D603F2&quot;/&gt;&lt;wsp:rsid wsp:val=&quot;00D6072B&quot;/&gt;&lt;wsp:rsid wsp:val=&quot;00D60C1A&quot;/&gt;&lt;wsp:rsid wsp:val=&quot;00D61816&quot;/&gt;&lt;wsp:rsid wsp:val=&quot;00D62007&quot;/&gt;&lt;wsp:rsid wsp:val=&quot;00D634F2&quot;/&gt;&lt;wsp:rsid wsp:val=&quot;00D63A4B&quot;/&gt;&lt;wsp:rsid wsp:val=&quot;00D65253&quot;/&gt;&lt;wsp:rsid wsp:val=&quot;00D65DA4&quot;/&gt;&lt;wsp:rsid wsp:val=&quot;00D673D5&quot;/&gt;&lt;wsp:rsid wsp:val=&quot;00D675C1&quot;/&gt;&lt;wsp:rsid wsp:val=&quot;00D707FB&quot;/&gt;&lt;wsp:rsid wsp:val=&quot;00D7289E&quot;/&gt;&lt;wsp:rsid wsp:val=&quot;00D7391F&quot;/&gt;&lt;wsp:rsid wsp:val=&quot;00D73F55&quot;/&gt;&lt;wsp:rsid wsp:val=&quot;00D745F5&quot;/&gt;&lt;wsp:rsid wsp:val=&quot;00D74F5E&quot;/&gt;&lt;wsp:rsid wsp:val=&quot;00D76581&quot;/&gt;&lt;wsp:rsid wsp:val=&quot;00D81E8D&quot;/&gt;&lt;wsp:rsid wsp:val=&quot;00D84122&quot;/&gt;&lt;wsp:rsid wsp:val=&quot;00D85B8D&quot;/&gt;&lt;wsp:rsid wsp:val=&quot;00D903F9&quot;/&gt;&lt;wsp:rsid wsp:val=&quot;00D91FD5&quot;/&gt;&lt;wsp:rsid wsp:val=&quot;00D95B8A&quot;/&gt;&lt;wsp:rsid wsp:val=&quot;00D962A0&quot;/&gt;&lt;wsp:rsid wsp:val=&quot;00DA1FB7&quot;/&gt;&lt;wsp:rsid wsp:val=&quot;00DA3DC6&quot;/&gt;&lt;wsp:rsid wsp:val=&quot;00DB041C&quot;/&gt;&lt;wsp:rsid wsp:val=&quot;00DB3EF9&quot;/&gt;&lt;wsp:rsid wsp:val=&quot;00DB4E26&quot;/&gt;&lt;wsp:rsid wsp:val=&quot;00DB4E8E&quot;/&gt;&lt;wsp:rsid wsp:val=&quot;00DB7747&quot;/&gt;&lt;wsp:rsid wsp:val=&quot;00DC152B&quot;/&gt;&lt;wsp:rsid wsp:val=&quot;00DC2F0D&quot;/&gt;&lt;wsp:rsid wsp:val=&quot;00DC3798&quot;/&gt;&lt;wsp:rsid wsp:val=&quot;00DC3976&quot;/&gt;&lt;wsp:rsid wsp:val=&quot;00DC41D8&quot;/&gt;&lt;wsp:rsid wsp:val=&quot;00DC4438&quot;/&gt;&lt;wsp:rsid wsp:val=&quot;00DC4A54&quot;/&gt;&lt;wsp:rsid wsp:val=&quot;00DC5FE5&quot;/&gt;&lt;wsp:rsid wsp:val=&quot;00DC6278&quot;/&gt;&lt;wsp:rsid wsp:val=&quot;00DC6544&quot;/&gt;&lt;wsp:rsid wsp:val=&quot;00DC65F4&quot;/&gt;&lt;wsp:rsid wsp:val=&quot;00DC6AB5&quot;/&gt;&lt;wsp:rsid wsp:val=&quot;00DC7088&quot;/&gt;&lt;wsp:rsid wsp:val=&quot;00DD0B7C&quot;/&gt;&lt;wsp:rsid wsp:val=&quot;00DD0CCC&quot;/&gt;&lt;wsp:rsid wsp:val=&quot;00DD1D12&quot;/&gt;&lt;wsp:rsid wsp:val=&quot;00DD49AD&quot;/&gt;&lt;wsp:rsid wsp:val=&quot;00DE0C55&quot;/&gt;&lt;wsp:rsid wsp:val=&quot;00DE10D4&quot;/&gt;&lt;wsp:rsid wsp:val=&quot;00DE209A&quot;/&gt;&lt;wsp:rsid wsp:val=&quot;00DE3D15&quot;/&gt;&lt;wsp:rsid wsp:val=&quot;00DE6B88&quot;/&gt;&lt;wsp:rsid wsp:val=&quot;00DF07A5&quot;/&gt;&lt;wsp:rsid wsp:val=&quot;00DF0A6A&quot;/&gt;&lt;wsp:rsid wsp:val=&quot;00DF1162&quot;/&gt;&lt;wsp:rsid wsp:val=&quot;00DF18D0&quot;/&gt;&lt;wsp:rsid wsp:val=&quot;00DF25D4&quot;/&gt;&lt;wsp:rsid wsp:val=&quot;00DF33D9&quot;/&gt;&lt;wsp:rsid wsp:val=&quot;00DF5595&quot;/&gt;&lt;wsp:rsid wsp:val=&quot;00DF5D37&quot;/&gt;&lt;wsp:rsid wsp:val=&quot;00DF7242&quot;/&gt;&lt;wsp:rsid wsp:val=&quot;00E000FA&quot;/&gt;&lt;wsp:rsid wsp:val=&quot;00E02BA2&quot;/&gt;&lt;wsp:rsid wsp:val=&quot;00E03404&quot;/&gt;&lt;wsp:rsid wsp:val=&quot;00E05C30&quot;/&gt;&lt;wsp:rsid wsp:val=&quot;00E0677C&quot;/&gt;&lt;wsp:rsid wsp:val=&quot;00E07A5B&quot;/&gt;&lt;wsp:rsid wsp:val=&quot;00E10866&quot;/&gt;&lt;wsp:rsid wsp:val=&quot;00E1089A&quot;/&gt;&lt;wsp:rsid wsp:val=&quot;00E10AF0&quot;/&gt;&lt;wsp:rsid wsp:val=&quot;00E11950&quot;/&gt;&lt;wsp:rsid wsp:val=&quot;00E12243&quot;/&gt;&lt;wsp:rsid wsp:val=&quot;00E1637A&quot;/&gt;&lt;wsp:rsid wsp:val=&quot;00E16825&quot;/&gt;&lt;wsp:rsid wsp:val=&quot;00E16CD0&quot;/&gt;&lt;wsp:rsid wsp:val=&quot;00E2109A&quot;/&gt;&lt;wsp:rsid wsp:val=&quot;00E210D7&quot;/&gt;&lt;wsp:rsid wsp:val=&quot;00E264D4&quot;/&gt;&lt;wsp:rsid wsp:val=&quot;00E26F38&quot;/&gt;&lt;wsp:rsid wsp:val=&quot;00E26FA4&quot;/&gt;&lt;wsp:rsid wsp:val=&quot;00E3343C&quot;/&gt;&lt;wsp:rsid wsp:val=&quot;00E337CE&quot;/&gt;&lt;wsp:rsid wsp:val=&quot;00E341A5&quot;/&gt;&lt;wsp:rsid wsp:val=&quot;00E34356&quot;/&gt;&lt;wsp:rsid wsp:val=&quot;00E35887&quot;/&gt;&lt;wsp:rsid wsp:val=&quot;00E3636C&quot;/&gt;&lt;wsp:rsid wsp:val=&quot;00E37BB1&quot;/&gt;&lt;wsp:rsid wsp:val=&quot;00E40AF0&quot;/&gt;&lt;wsp:rsid wsp:val=&quot;00E42176&quot;/&gt;&lt;wsp:rsid wsp:val=&quot;00E426D2&quot;/&gt;&lt;wsp:rsid wsp:val=&quot;00E443EF&quot;/&gt;&lt;wsp:rsid wsp:val=&quot;00E4463B&quot;/&gt;&lt;wsp:rsid wsp:val=&quot;00E47406&quot;/&gt;&lt;wsp:rsid wsp:val=&quot;00E50937&quot;/&gt;&lt;wsp:rsid wsp:val=&quot;00E50F15&quot;/&gt;&lt;wsp:rsid wsp:val=&quot;00E51055&quot;/&gt;&lt;wsp:rsid wsp:val=&quot;00E51AFD&quot;/&gt;&lt;wsp:rsid wsp:val=&quot;00E51F43&quot;/&gt;&lt;wsp:rsid wsp:val=&quot;00E522BD&quot;/&gt;&lt;wsp:rsid wsp:val=&quot;00E52912&quot;/&gt;&lt;wsp:rsid wsp:val=&quot;00E53260&quot;/&gt;&lt;wsp:rsid wsp:val=&quot;00E543EC&quot;/&gt;&lt;wsp:rsid wsp:val=&quot;00E5490B&quot;/&gt;&lt;wsp:rsid wsp:val=&quot;00E54B5E&quot;/&gt;&lt;wsp:rsid wsp:val=&quot;00E54F8D&quot;/&gt;&lt;wsp:rsid wsp:val=&quot;00E558A4&quot;/&gt;&lt;wsp:rsid wsp:val=&quot;00E5619F&quot;/&gt;&lt;wsp:rsid wsp:val=&quot;00E57C8B&quot;/&gt;&lt;wsp:rsid wsp:val=&quot;00E635DF&quot;/&gt;&lt;wsp:rsid wsp:val=&quot;00E65149&quot;/&gt;&lt;wsp:rsid wsp:val=&quot;00E663D7&quot;/&gt;&lt;wsp:rsid wsp:val=&quot;00E6650D&quot;/&gt;&lt;wsp:rsid wsp:val=&quot;00E670A2&quot;/&gt;&lt;wsp:rsid wsp:val=&quot;00E67F50&quot;/&gt;&lt;wsp:rsid wsp:val=&quot;00E723AE&quot;/&gt;&lt;wsp:rsid wsp:val=&quot;00E72FC0&quot;/&gt;&lt;wsp:rsid wsp:val=&quot;00E7488E&quot;/&gt;&lt;wsp:rsid wsp:val=&quot;00E748F6&quot;/&gt;&lt;wsp:rsid wsp:val=&quot;00E758D4&quot;/&gt;&lt;wsp:rsid wsp:val=&quot;00E75D26&quot;/&gt;&lt;wsp:rsid wsp:val=&quot;00E76FF4&quot;/&gt;&lt;wsp:rsid wsp:val=&quot;00E779BB&quot;/&gt;&lt;wsp:rsid wsp:val=&quot;00E77CEA&quot;/&gt;&lt;wsp:rsid wsp:val=&quot;00E77DDB&quot;/&gt;&lt;wsp:rsid wsp:val=&quot;00E81B3D&quot;/&gt;&lt;wsp:rsid wsp:val=&quot;00E85C9D&quot;/&gt;&lt;wsp:rsid wsp:val=&quot;00E91758&quot;/&gt;&lt;wsp:rsid wsp:val=&quot;00E91944&quot;/&gt;&lt;wsp:rsid wsp:val=&quot;00E924CF&quot;/&gt;&lt;wsp:rsid wsp:val=&quot;00E92AF5&quot;/&gt;&lt;wsp:rsid wsp:val=&quot;00E93A9F&quot;/&gt;&lt;wsp:rsid wsp:val=&quot;00E93B7A&quot;/&gt;&lt;wsp:rsid wsp:val=&quot;00E94AF0&quot;/&gt;&lt;wsp:rsid wsp:val=&quot;00E95019&quot;/&gt;&lt;wsp:rsid wsp:val=&quot;00E95443&quot;/&gt;&lt;wsp:rsid wsp:val=&quot;00E95B86&quot;/&gt;&lt;wsp:rsid wsp:val=&quot;00E97681&quot;/&gt;&lt;wsp:rsid wsp:val=&quot;00E97C56&quot;/&gt;&lt;wsp:rsid wsp:val=&quot;00EA10CD&quot;/&gt;&lt;wsp:rsid wsp:val=&quot;00EA1435&quot;/&gt;&lt;wsp:rsid wsp:val=&quot;00EA1F1F&quot;/&gt;&lt;wsp:rsid wsp:val=&quot;00EA3BBB&quot;/&gt;&lt;wsp:rsid wsp:val=&quot;00EA3D46&quot;/&gt;&lt;wsp:rsid wsp:val=&quot;00EA4A6C&quot;/&gt;&lt;wsp:rsid wsp:val=&quot;00EA4B0B&quot;/&gt;&lt;wsp:rsid wsp:val=&quot;00EA58BC&quot;/&gt;&lt;wsp:rsid wsp:val=&quot;00EA6602&quot;/&gt;&lt;wsp:rsid wsp:val=&quot;00EA702C&quot;/&gt;&lt;wsp:rsid wsp:val=&quot;00EB0B20&quot;/&gt;&lt;wsp:rsid wsp:val=&quot;00EB5C93&quot;/&gt;&lt;wsp:rsid wsp:val=&quot;00EB73B1&quot;/&gt;&lt;wsp:rsid wsp:val=&quot;00EB7E36&quot;/&gt;&lt;wsp:rsid wsp:val=&quot;00EC0301&quot;/&gt;&lt;wsp:rsid wsp:val=&quot;00EC1E99&quot;/&gt;&lt;wsp:rsid wsp:val=&quot;00EC2402&quot;/&gt;&lt;wsp:rsid wsp:val=&quot;00EC24B5&quot;/&gt;&lt;wsp:rsid wsp:val=&quot;00EC2D02&quot;/&gt;&lt;wsp:rsid wsp:val=&quot;00EC61A6&quot;/&gt;&lt;wsp:rsid wsp:val=&quot;00EC74CC&quot;/&gt;&lt;wsp:rsid wsp:val=&quot;00EC7DA6&quot;/&gt;&lt;wsp:rsid wsp:val=&quot;00ED0F51&quot;/&gt;&lt;wsp:rsid wsp:val=&quot;00ED2911&quot;/&gt;&lt;wsp:rsid wsp:val=&quot;00ED4045&quot;/&gt;&lt;wsp:rsid wsp:val=&quot;00ED49F6&quot;/&gt;&lt;wsp:rsid wsp:val=&quot;00ED6C89&quot;/&gt;&lt;wsp:rsid wsp:val=&quot;00ED6D46&quot;/&gt;&lt;wsp:rsid wsp:val=&quot;00ED6D8F&quot;/&gt;&lt;wsp:rsid wsp:val=&quot;00EE0F69&quot;/&gt;&lt;wsp:rsid wsp:val=&quot;00EE0F97&quot;/&gt;&lt;wsp:rsid wsp:val=&quot;00EE3794&quot;/&gt;&lt;wsp:rsid wsp:val=&quot;00EE40F8&quot;/&gt;&lt;wsp:rsid wsp:val=&quot;00EE4256&quot;/&gt;&lt;wsp:rsid wsp:val=&quot;00EE4B56&quot;/&gt;&lt;wsp:rsid wsp:val=&quot;00EE4B5A&quot;/&gt;&lt;wsp:rsid wsp:val=&quot;00EF10CB&quot;/&gt;&lt;wsp:rsid wsp:val=&quot;00EF3020&quot;/&gt;&lt;wsp:rsid wsp:val=&quot;00EF3F35&quot;/&gt;&lt;wsp:rsid wsp:val=&quot;00EF42A3&quot;/&gt;&lt;wsp:rsid wsp:val=&quot;00EF43E3&quot;/&gt;&lt;wsp:rsid wsp:val=&quot;00EF7B67&quot;/&gt;&lt;wsp:rsid wsp:val=&quot;00F00108&quot;/&gt;&lt;wsp:rsid wsp:val=&quot;00F03838&quot;/&gt;&lt;wsp:rsid wsp:val=&quot;00F060A6&quot;/&gt;&lt;wsp:rsid wsp:val=&quot;00F0796B&quot;/&gt;&lt;wsp:rsid wsp:val=&quot;00F10167&quot;/&gt;&lt;wsp:rsid wsp:val=&quot;00F1038E&quot;/&gt;&lt;wsp:rsid wsp:val=&quot;00F107F1&quot;/&gt;&lt;wsp:rsid wsp:val=&quot;00F1152B&quot;/&gt;&lt;wsp:rsid wsp:val=&quot;00F12751&quot;/&gt;&lt;wsp:rsid wsp:val=&quot;00F1391D&quot;/&gt;&lt;wsp:rsid wsp:val=&quot;00F1417D&quot;/&gt;&lt;wsp:rsid wsp:val=&quot;00F14436&quot;/&gt;&lt;wsp:rsid wsp:val=&quot;00F1546A&quot;/&gt;&lt;wsp:rsid wsp:val=&quot;00F15B91&quot;/&gt;&lt;wsp:rsid wsp:val=&quot;00F16811&quot;/&gt;&lt;wsp:rsid wsp:val=&quot;00F1700D&quot;/&gt;&lt;wsp:rsid wsp:val=&quot;00F17295&quot;/&gt;&lt;wsp:rsid wsp:val=&quot;00F1754A&quot;/&gt;&lt;wsp:rsid wsp:val=&quot;00F17DDF&quot;/&gt;&lt;wsp:rsid wsp:val=&quot;00F20A05&quot;/&gt;&lt;wsp:rsid wsp:val=&quot;00F210B9&quot;/&gt;&lt;wsp:rsid wsp:val=&quot;00F21942&quot;/&gt;&lt;wsp:rsid wsp:val=&quot;00F23AE0&quot;/&gt;&lt;wsp:rsid wsp:val=&quot;00F24B39&quot;/&gt;&lt;wsp:rsid wsp:val=&quot;00F2573B&quot;/&gt;&lt;wsp:rsid wsp:val=&quot;00F2604E&quot;/&gt;&lt;wsp:rsid wsp:val=&quot;00F2775A&quot;/&gt;&lt;wsp:rsid wsp:val=&quot;00F27B01&quot;/&gt;&lt;wsp:rsid wsp:val=&quot;00F304EA&quot;/&gt;&lt;wsp:rsid wsp:val=&quot;00F32BF6&quot;/&gt;&lt;wsp:rsid wsp:val=&quot;00F336C0&quot;/&gt;&lt;wsp:rsid wsp:val=&quot;00F35514&quot;/&gt;&lt;wsp:rsid wsp:val=&quot;00F35685&quot;/&gt;&lt;wsp:rsid wsp:val=&quot;00F356F1&quot;/&gt;&lt;wsp:rsid wsp:val=&quot;00F368A3&quot;/&gt;&lt;wsp:rsid wsp:val=&quot;00F37317&quot;/&gt;&lt;wsp:rsid wsp:val=&quot;00F37D0D&quot;/&gt;&lt;wsp:rsid wsp:val=&quot;00F37F15&quot;/&gt;&lt;wsp:rsid wsp:val=&quot;00F4403A&quot;/&gt;&lt;wsp:rsid wsp:val=&quot;00F45ED9&quot;/&gt;&lt;wsp:rsid wsp:val=&quot;00F4614B&quot;/&gt;&lt;wsp:rsid wsp:val=&quot;00F46A96&quot;/&gt;&lt;wsp:rsid wsp:val=&quot;00F47A16&quot;/&gt;&lt;wsp:rsid wsp:val=&quot;00F5016C&quot;/&gt;&lt;wsp:rsid wsp:val=&quot;00F51151&quot;/&gt;&lt;wsp:rsid wsp:val=&quot;00F5121A&quot;/&gt;&lt;wsp:rsid wsp:val=&quot;00F515E9&quot;/&gt;&lt;wsp:rsid wsp:val=&quot;00F51ABE&quot;/&gt;&lt;wsp:rsid wsp:val=&quot;00F54EAC&quot;/&gt;&lt;wsp:rsid wsp:val=&quot;00F57678&quot;/&gt;&lt;wsp:rsid wsp:val=&quot;00F6060C&quot;/&gt;&lt;wsp:rsid wsp:val=&quot;00F61E2B&quot;/&gt;&lt;wsp:rsid wsp:val=&quot;00F63A41&quot;/&gt;&lt;wsp:rsid wsp:val=&quot;00F63EFA&quot;/&gt;&lt;wsp:rsid wsp:val=&quot;00F65487&quot;/&gt;&lt;wsp:rsid wsp:val=&quot;00F668EE&quot;/&gt;&lt;wsp:rsid wsp:val=&quot;00F66975&quot;/&gt;&lt;wsp:rsid wsp:val=&quot;00F7035D&quot;/&gt;&lt;wsp:rsid wsp:val=&quot;00F7043E&quot;/&gt;&lt;wsp:rsid wsp:val=&quot;00F70D46&quot;/&gt;&lt;wsp:rsid wsp:val=&quot;00F72F76&quot;/&gt;&lt;wsp:rsid wsp:val=&quot;00F755CD&quot;/&gt;&lt;wsp:rsid wsp:val=&quot;00F76089&quot;/&gt;&lt;wsp:rsid wsp:val=&quot;00F7724D&quot;/&gt;&lt;wsp:rsid wsp:val=&quot;00F77A6A&quot;/&gt;&lt;wsp:rsid wsp:val=&quot;00F80049&quot;/&gt;&lt;wsp:rsid wsp:val=&quot;00F8271B&quot;/&gt;&lt;wsp:rsid wsp:val=&quot;00F82FD4&quot;/&gt;&lt;wsp:rsid wsp:val=&quot;00F83497&quot;/&gt;&lt;wsp:rsid wsp:val=&quot;00F83BF5&quot;/&gt;&lt;wsp:rsid wsp:val=&quot;00F84A0E&quot;/&gt;&lt;wsp:rsid wsp:val=&quot;00F854B0&quot;/&gt;&lt;wsp:rsid wsp:val=&quot;00F85E81&quot;/&gt;&lt;wsp:rsid wsp:val=&quot;00F86128&quot;/&gt;&lt;wsp:rsid wsp:val=&quot;00F90563&quot;/&gt;&lt;wsp:rsid wsp:val=&quot;00F9124D&quot;/&gt;&lt;wsp:rsid wsp:val=&quot;00F92BFF&quot;/&gt;&lt;wsp:rsid wsp:val=&quot;00F94258&quot;/&gt;&lt;wsp:rsid wsp:val=&quot;00F94776&quot;/&gt;&lt;wsp:rsid wsp:val=&quot;00F95AC2&quot;/&gt;&lt;wsp:rsid wsp:val=&quot;00F968DF&quot;/&gt;&lt;wsp:rsid wsp:val=&quot;00F97D9A&quot;/&gt;&lt;wsp:rsid wsp:val=&quot;00FA1509&quot;/&gt;&lt;wsp:rsid wsp:val=&quot;00FA29D1&quot;/&gt;&lt;wsp:rsid wsp:val=&quot;00FA4FB7&quot;/&gt;&lt;wsp:rsid wsp:val=&quot;00FA6399&quot;/&gt;&lt;wsp:rsid wsp:val=&quot;00FA6944&quot;/&gt;&lt;wsp:rsid wsp:val=&quot;00FA7942&quot;/&gt;&lt;wsp:rsid wsp:val=&quot;00FA7E5F&quot;/&gt;&lt;wsp:rsid wsp:val=&quot;00FB0739&quot;/&gt;&lt;wsp:rsid wsp:val=&quot;00FB0A7B&quot;/&gt;&lt;wsp:rsid wsp:val=&quot;00FB1F1A&quot;/&gt;&lt;wsp:rsid wsp:val=&quot;00FB32DA&quot;/&gt;&lt;wsp:rsid wsp:val=&quot;00FB36C4&quot;/&gt;&lt;wsp:rsid wsp:val=&quot;00FB463E&quot;/&gt;&lt;wsp:rsid wsp:val=&quot;00FB4C4A&quot;/&gt;&lt;wsp:rsid wsp:val=&quot;00FB6246&quot;/&gt;&lt;wsp:rsid wsp:val=&quot;00FB65B5&quot;/&gt;&lt;wsp:rsid wsp:val=&quot;00FB78C6&quot;/&gt;&lt;wsp:rsid wsp:val=&quot;00FC08C2&quot;/&gt;&lt;wsp:rsid wsp:val=&quot;00FC1DDF&quot;/&gt;&lt;wsp:rsid wsp:val=&quot;00FC26E6&quot;/&gt;&lt;wsp:rsid wsp:val=&quot;00FC3456&quot;/&gt;&lt;wsp:rsid wsp:val=&quot;00FC4CCB&quot;/&gt;&lt;wsp:rsid wsp:val=&quot;00FC536A&quot;/&gt;&lt;wsp:rsid wsp:val=&quot;00FC56B4&quot;/&gt;&lt;wsp:rsid wsp:val=&quot;00FC58E1&quot;/&gt;&lt;wsp:rsid wsp:val=&quot;00FC7138&quot;/&gt;&lt;wsp:rsid wsp:val=&quot;00FC758A&quot;/&gt;&lt;wsp:rsid wsp:val=&quot;00FC7874&quot;/&gt;&lt;wsp:rsid wsp:val=&quot;00FC78CB&quot;/&gt;&lt;wsp:rsid wsp:val=&quot;00FD1B80&quot;/&gt;&lt;wsp:rsid wsp:val=&quot;00FD1CB2&quot;/&gt;&lt;wsp:rsid wsp:val=&quot;00FD1FDC&quot;/&gt;&lt;wsp:rsid wsp:val=&quot;00FD2B3B&quot;/&gt;&lt;wsp:rsid wsp:val=&quot;00FD3CD1&quot;/&gt;&lt;wsp:rsid wsp:val=&quot;00FD3E0F&quot;/&gt;&lt;wsp:rsid wsp:val=&quot;00FD444B&quot;/&gt;&lt;wsp:rsid wsp:val=&quot;00FD5234&quot;/&gt;&lt;wsp:rsid wsp:val=&quot;00FD6567&quot;/&gt;&lt;wsp:rsid wsp:val=&quot;00FE052D&quot;/&gt;&lt;wsp:rsid wsp:val=&quot;00FE0812&quot;/&gt;&lt;wsp:rsid wsp:val=&quot;00FE115B&quot;/&gt;&lt;wsp:rsid wsp:val=&quot;00FE216F&quot;/&gt;&lt;wsp:rsid wsp:val=&quot;00FE3B90&quot;/&gt;&lt;wsp:rsid wsp:val=&quot;00FE5799&quot;/&gt;&lt;wsp:rsid wsp:val=&quot;00FE5FC2&quot;/&gt;&lt;wsp:rsid wsp:val=&quot;00FE6022&quot;/&gt;&lt;wsp:rsid wsp:val=&quot;00FE6AFA&quot;/&gt;&lt;wsp:rsid wsp:val=&quot;00FE7141&quot;/&gt;&lt;wsp:rsid wsp:val=&quot;00FF03E0&quot;/&gt;&lt;wsp:rsid wsp:val=&quot;00FF1378&quot;/&gt;&lt;wsp:rsid wsp:val=&quot;00FF5CA7&quot;/&gt;&lt;wsp:rsid wsp:val=&quot;00FF5D2B&quot;/&gt;&lt;wsp:rsid wsp:val=&quot;00FF6702&quot;/&gt;&lt;wsp:rsid wsp:val=&quot;00FF7677&quot;/&gt;&lt;/wsp:rsids&gt;&lt;/w:docPr&gt;&lt;w:body&gt;&lt;wx:sect&gt;&lt;w:p wsp:rsidR=&quot;00000000&quot; wsp:rsidRDefault=&quot;00385D4B&quot; wsp:rsidP=&quot;00385D4B&quot;&gt;&lt;m:oMathPara&gt;&lt;m:oMath&gt;&lt;m:sSub&gt;&lt;m:sSubPr&gt;&lt;m:ctrlPr&gt;&lt;w:rPr&gt;&lt;w:rFonts w:ascii=&quot;Cambria Math&quot; w:fareast=&quot;_?&quot; w:h-ansi=&quot;Cambria Math&quot;/&gt;&lt;wx:font wx:val=&quot;Cambria Math&quot;/&gt;&lt;w:i/&gt;&lt;w:color w:val=&quot;000000&quot;/&gt;&lt;w:sz-cs w:val=&quot;20&quot;/&gt;&lt;w:lang w:val=&quot;EN-GB&quot;/&gt;&lt;/w:rPr&gt;&lt;/m:ctrlPr&gt;&lt;/m:sSubPr&gt;&lt;m:e&gt;&lt;m:r&gt;&lt;w:rPr&gt;&lt;w:rFonts w:ascii=&quot;Cambria Math&quot;FFFF wn:fareast=&quot;_?&quot; w:h-ansi=&quot;Cambria Math&quot;/&gt;&lt;wx:font wx:val=&quot;Cambria Math&quot;/&gt;&lt;w:i/&gt;&lt;w:color w:val=&quot;000000&quot;/&gt;&lt;w:sz-cs w:val=&quot;20&quot;/&gt;&lt;w:lang w:val=&quot;EN-GB&quot;/&gt;&lt;/w:rPr&gt;&lt;m:t&gt;N&lt;/m:t&gt;&lt;/m:r&gt;&lt;/m:e&gt;&lt;m:sub&gt;&lt;m:r&gt;&lt;w:rPr&gt;&lt;w:rFonts w:ascii=&quot;Cambria Math&quot; w:fareast=&quot;_?&quot; w:&quot;Fh&quot;F-&quot;Fa&quot;Fnsiwn=&quot;Cambria Math&quot;/&gt;&lt;wx:font wx:val=&quot;Cambria Math&quot;/&gt;&lt;w:i/&gt;&lt;w:color w:val=&quot;000000&quot;/&gt;&lt;w:sz-cs w:val=&quot;20&quot;/&gt;&lt;w:lang w:val=&quot;EN-GB&quot;/&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rFonts w:eastAsia="宋体"/>
                <w:color w:val="000000"/>
                <w:sz w:val="18"/>
                <w:szCs w:val="13"/>
                <w:lang w:val="en-GB"/>
              </w:rPr>
              <w:fldChar w:fldCharType="end"/>
            </w:r>
            <w:r>
              <w:rPr>
                <w:rFonts w:eastAsia="宋体"/>
                <w:color w:val="000000"/>
                <w:sz w:val="18"/>
                <w:szCs w:val="13"/>
                <w:lang w:val="en-GB"/>
              </w:rPr>
              <w:t xml:space="preserve"> should be divisible by </w:t>
            </w:r>
            <w:r>
              <w:rPr>
                <w:rFonts w:eastAsia="宋体"/>
                <w:i/>
                <w:color w:val="000000"/>
                <w:sz w:val="18"/>
                <w:szCs w:val="13"/>
                <w:lang w:val="en-GB"/>
              </w:rPr>
              <w:t>R</w:t>
            </w:r>
            <w:r>
              <w:rPr>
                <w:rFonts w:eastAsia="宋体"/>
                <w:color w:val="000000"/>
                <w:sz w:val="18"/>
                <w:szCs w:val="13"/>
              </w:rPr>
              <w:t xml:space="preserve">. Each of the antenna ports of the SRS resource is mapped to the same set of subcarriers within each </w:t>
            </w:r>
            <w:r>
              <w:rPr>
                <w:rFonts w:eastAsia="宋体"/>
                <w:strike/>
                <w:color w:val="FF0000"/>
                <w:sz w:val="18"/>
                <w:szCs w:val="13"/>
              </w:rPr>
              <w:t xml:space="preserve">pair </w:t>
            </w:r>
            <w:r>
              <w:rPr>
                <w:rFonts w:eastAsia="宋体"/>
                <w:color w:val="FF0000"/>
                <w:sz w:val="18"/>
                <w:szCs w:val="13"/>
              </w:rPr>
              <w:t xml:space="preserve">set </w:t>
            </w:r>
            <w:r>
              <w:rPr>
                <w:rFonts w:eastAsia="宋体"/>
                <w:color w:val="000000"/>
                <w:sz w:val="18"/>
                <w:szCs w:val="13"/>
              </w:rPr>
              <w:t xml:space="preserve">of </w:t>
            </w:r>
            <w:r>
              <w:rPr>
                <w:rFonts w:eastAsia="宋体"/>
                <w:i/>
                <w:color w:val="000000"/>
                <w:sz w:val="18"/>
                <w:szCs w:val="13"/>
              </w:rPr>
              <w:t>R</w:t>
            </w:r>
            <w:r>
              <w:rPr>
                <w:rFonts w:eastAsia="宋体"/>
                <w:color w:val="000000"/>
                <w:sz w:val="18"/>
                <w:szCs w:val="13"/>
              </w:rPr>
              <w:t xml:space="preserve"> adjacent OFDM symbols of the resource in each slot. For </w:t>
            </w:r>
            <w:r>
              <w:rPr>
                <w:rFonts w:eastAsia="宋体"/>
                <w:i/>
                <w:color w:val="000000"/>
                <w:sz w:val="18"/>
                <w:szCs w:val="13"/>
              </w:rPr>
              <w:t>N</w:t>
            </w:r>
            <w:r>
              <w:rPr>
                <w:rFonts w:eastAsia="宋体"/>
                <w:i/>
                <w:color w:val="000000"/>
                <w:sz w:val="18"/>
                <w:szCs w:val="13"/>
                <w:vertAlign w:val="subscript"/>
              </w:rPr>
              <w:t>s</w:t>
            </w:r>
            <w:r>
              <w:rPr>
                <w:rFonts w:eastAsia="宋体"/>
                <w:i/>
                <w:color w:val="000000"/>
                <w:sz w:val="18"/>
                <w:szCs w:val="13"/>
              </w:rPr>
              <w:t>= R</w:t>
            </w:r>
            <w:r>
              <w:rPr>
                <w:rFonts w:eastAsia="宋体"/>
                <w:color w:val="000000"/>
                <w:sz w:val="18"/>
                <w:szCs w:val="13"/>
              </w:rPr>
              <w:t xml:space="preserve">, when frequency hopping is configured, inter-slot frequency hopping is supported with each of the antenna ports of the SRS resource mapped to the same set of subcarriers in </w:t>
            </w:r>
            <w:r>
              <w:rPr>
                <w:rFonts w:eastAsia="宋体"/>
                <w:i/>
                <w:color w:val="000000"/>
                <w:sz w:val="18"/>
                <w:szCs w:val="13"/>
              </w:rPr>
              <w:t>R</w:t>
            </w:r>
            <w:r>
              <w:rPr>
                <w:rFonts w:eastAsia="宋体"/>
                <w:color w:val="000000"/>
                <w:sz w:val="18"/>
                <w:szCs w:val="13"/>
              </w:rPr>
              <w:t xml:space="preserve"> adjacent OFDM symbol(s) of the resource in each slot.</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color w:val="3333FF"/>
                <w:sz w:val="18"/>
                <w:szCs w:val="18"/>
                <w:lang w:val="en-GB" w:eastAsia="zh-CN"/>
              </w:rPr>
            </w:pPr>
            <w:r>
              <w:rPr>
                <w:rFonts w:eastAsiaTheme="minorEastAsia"/>
                <w:color w:val="FF0000"/>
                <w:sz w:val="18"/>
                <w:szCs w:val="18"/>
                <w:lang w:val="en-US" w:eastAsia="zh-CN"/>
              </w:rPr>
              <w:t>&lt;End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tc>
      </w:tr>
    </w:tbl>
    <w:p>
      <w:pPr>
        <w:bidi w:val="0"/>
      </w:pPr>
    </w:p>
    <w:p>
      <w:pPr>
        <w:bidi w:val="0"/>
      </w:pPr>
    </w:p>
    <w:p>
      <w:pPr>
        <w:pStyle w:val="4"/>
        <w:bidi w:val="0"/>
        <w:rPr>
          <w:rFonts w:hint="default"/>
          <w:lang w:val="en-US" w:eastAsia="zh-CN"/>
        </w:rPr>
      </w:pPr>
      <w:r>
        <w:rPr>
          <w:b/>
          <w:bCs/>
          <w:lang w:eastAsia="zh-CN"/>
        </w:rPr>
        <w:t>TP#</w:t>
      </w:r>
      <w:r>
        <w:rPr>
          <w:rFonts w:hint="eastAsia"/>
          <w:b/>
          <w:bCs/>
          <w:lang w:val="en-US" w:eastAsia="zh-CN"/>
        </w:rPr>
        <w:t>3-4 in TS38.214</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Reason of change:</w:t>
      </w:r>
    </w:p>
    <w:p>
      <w:pPr>
        <w:keepNext w:val="0"/>
        <w:keepLines w:val="0"/>
        <w:pageBreakBefore w:val="0"/>
        <w:widowControl/>
        <w:kinsoku/>
        <w:wordWrap/>
        <w:overflowPunct/>
        <w:topLinePunct w:val="0"/>
        <w:autoSpaceDE/>
        <w:autoSpaceDN/>
        <w:bidi w:val="0"/>
        <w:adjustRightInd/>
        <w:snapToGrid/>
        <w:spacing w:line="260" w:lineRule="auto"/>
        <w:textAlignment w:val="auto"/>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In Rel-17, start RB hopping was supported for partial sounding. Accordingly, a new parameter was introduced to define the hopping pattern. In 38.211, the hopping pattern is denoted as </w:t>
      </w:r>
      <m:oMath>
        <m:sSub>
          <m:sSubPr>
            <m:ctrlPr>
              <w:rPr>
                <w:rFonts w:hint="default" w:ascii="Cambria Math" w:hAnsi="Cambria Math" w:cs="Times New Roman"/>
                <w:i/>
                <w:sz w:val="18"/>
                <w:szCs w:val="18"/>
                <w:lang w:val="sv-SE"/>
              </w:rPr>
            </m:ctrlPr>
          </m:sSubPr>
          <m:e>
            <m:r>
              <w:rPr>
                <w:rFonts w:hint="default" w:ascii="Cambria Math" w:hAnsi="Cambria Math" w:cs="Times New Roman"/>
                <w:sz w:val="18"/>
                <w:szCs w:val="18"/>
                <w:lang w:val="sv-SE"/>
              </w:rPr>
              <m:t>k</m:t>
            </m:r>
            <m:ctrlPr>
              <w:rPr>
                <w:rFonts w:hint="default" w:ascii="Cambria Math" w:hAnsi="Cambria Math" w:cs="Times New Roman"/>
                <w:i/>
                <w:sz w:val="18"/>
                <w:szCs w:val="18"/>
                <w:lang w:val="sv-SE"/>
              </w:rPr>
            </m:ctrlPr>
          </m:e>
          <m:sub>
            <m:r>
              <m:rPr>
                <m:nor/>
                <m:sty m:val="p"/>
              </m:rPr>
              <w:rPr>
                <w:rFonts w:hint="default" w:ascii="Cambria Math" w:hAnsi="Cambria Math" w:cs="Times New Roman"/>
                <w:b w:val="0"/>
                <w:i w:val="0"/>
                <w:sz w:val="18"/>
                <w:szCs w:val="18"/>
              </w:rPr>
              <m:t>hop</m:t>
            </m:r>
            <m:ctrlPr>
              <w:rPr>
                <w:rFonts w:hint="default" w:ascii="Cambria Math" w:hAnsi="Cambria Math" w:cs="Times New Roman"/>
                <w:i/>
                <w:sz w:val="18"/>
                <w:szCs w:val="18"/>
                <w:lang w:val="sv-SE"/>
              </w:rPr>
            </m:ctrlPr>
          </m:sub>
        </m:sSub>
      </m:oMath>
      <w:r>
        <w:rPr>
          <w:rFonts w:hint="default" w:ascii="Times New Roman" w:hAnsi="Times New Roman" w:cs="Times New Roman"/>
          <w:sz w:val="18"/>
          <w:szCs w:val="18"/>
          <w:lang w:val="sv-SE" w:eastAsia="zh-CN"/>
        </w:rPr>
        <w:t xml:space="preserve">, while in 38.214, the hopping pattern is denoted as </w:t>
      </w:r>
      <m:oMath>
        <m:sSub>
          <m:sSubPr>
            <m:ctrlPr>
              <w:rPr>
                <w:rFonts w:hint="default" w:ascii="Cambria Math" w:hAnsi="Cambria Math" w:cs="Times New Roman"/>
                <w:i/>
                <w:sz w:val="18"/>
                <w:szCs w:val="18"/>
                <w:lang w:val="sv-SE"/>
              </w:rPr>
            </m:ctrlPr>
          </m:sSubPr>
          <m:e>
            <m:r>
              <w:rPr>
                <w:rFonts w:hint="default" w:ascii="Cambria Math" w:hAnsi="Cambria Math" w:cs="Times New Roman"/>
                <w:sz w:val="18"/>
                <w:szCs w:val="18"/>
                <w:lang w:val="sv-SE"/>
              </w:rPr>
              <m:t>k</m:t>
            </m:r>
            <m:ctrlPr>
              <w:rPr>
                <w:rFonts w:hint="default" w:ascii="Cambria Math" w:hAnsi="Cambria Math" w:cs="Times New Roman"/>
                <w:i/>
                <w:sz w:val="18"/>
                <w:szCs w:val="18"/>
                <w:lang w:val="sv-SE"/>
              </w:rPr>
            </m:ctrlPr>
          </m:e>
          <m:sub>
            <m:r>
              <m:rPr>
                <m:nor/>
                <m:sty m:val="p"/>
              </m:rPr>
              <w:rPr>
                <w:rFonts w:hint="default" w:ascii="Cambria Math" w:hAnsi="Cambria Math" w:cs="Times New Roman"/>
                <w:b w:val="0"/>
                <w:i w:val="0"/>
                <w:sz w:val="18"/>
                <w:szCs w:val="18"/>
              </w:rPr>
              <m:t>hopping</m:t>
            </m:r>
            <m:ctrlPr>
              <w:rPr>
                <w:rFonts w:hint="default" w:ascii="Cambria Math" w:hAnsi="Cambria Math" w:cs="Times New Roman"/>
                <w:i/>
                <w:sz w:val="18"/>
                <w:szCs w:val="18"/>
                <w:lang w:val="sv-SE"/>
              </w:rPr>
            </m:ctrlPr>
          </m:sub>
        </m:sSub>
      </m:oMath>
      <w:r>
        <w:rPr>
          <w:rFonts w:hint="default" w:ascii="Times New Roman" w:hAnsi="Times New Roman" w:cs="Times New Roman"/>
          <w:sz w:val="18"/>
          <w:szCs w:val="18"/>
          <w:lang w:val="sv-SE" w:eastAsia="zh-CN"/>
        </w:rPr>
        <w:t>. So it’s necessary to align it in the different spec.</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US" w:eastAsia="zh-CN"/>
        </w:rPr>
        <w:t>Summary of change</w:t>
      </w:r>
      <w:r>
        <w:rPr>
          <w:rFonts w:hint="default"/>
          <w:b/>
          <w:bCs/>
          <w:sz w:val="18"/>
          <w:szCs w:val="18"/>
          <w:u w:val="single"/>
          <w:lang w:val="en-GB" w:eastAsia="zh-CN"/>
        </w:rPr>
        <w:t>:</w:t>
      </w:r>
    </w:p>
    <w:p>
      <w:pPr>
        <w:pStyle w:val="104"/>
        <w:keepNext w:val="0"/>
        <w:keepLines w:val="0"/>
        <w:pageBreakBefore w:val="0"/>
        <w:widowControl/>
        <w:kinsoku/>
        <w:wordWrap/>
        <w:overflowPunct/>
        <w:topLinePunct w:val="0"/>
        <w:autoSpaceDE/>
        <w:autoSpaceDN/>
        <w:bidi w:val="0"/>
        <w:adjustRightInd/>
        <w:snapToGrid/>
        <w:spacing w:before="0" w:after="160" w:line="260" w:lineRule="auto"/>
        <w:textAlignment w:val="auto"/>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color w:val="000000" w:themeColor="text1"/>
          <w:sz w:val="18"/>
          <w:szCs w:val="18"/>
          <w:lang w:val="en-US" w:eastAsia="zh-CN"/>
          <w14:textFill>
            <w14:solidFill>
              <w14:schemeClr w14:val="tx1"/>
            </w14:solidFill>
          </w14:textFill>
        </w:rPr>
        <w:t xml:space="preserve">Clarify </w:t>
      </w:r>
      <w:r>
        <w:rPr>
          <w:rFonts w:hint="eastAsia" w:cs="Times New Roman" w:eastAsiaTheme="minorEastAsia"/>
          <w:color w:val="000000" w:themeColor="text1"/>
          <w:sz w:val="18"/>
          <w:szCs w:val="18"/>
          <w:lang w:val="en-US" w:eastAsia="zh-CN"/>
          <w14:textFill>
            <w14:solidFill>
              <w14:schemeClr w14:val="tx1"/>
            </w14:solidFill>
          </w14:textFill>
        </w:rPr>
        <w:t xml:space="preserve">in </w:t>
      </w:r>
      <w:r>
        <w:rPr>
          <w:rFonts w:hint="default" w:ascii="Times New Roman" w:hAnsi="Times New Roman" w:cs="Times New Roman" w:eastAsiaTheme="minorEastAsia"/>
          <w:color w:val="000000" w:themeColor="text1"/>
          <w:sz w:val="18"/>
          <w:szCs w:val="18"/>
          <w:lang w:val="en-US" w:eastAsia="zh-CN"/>
          <w14:textFill>
            <w14:solidFill>
              <w14:schemeClr w14:val="tx1"/>
            </w14:solidFill>
          </w14:textFill>
        </w:rPr>
        <w:t>TS38.21</w:t>
      </w:r>
      <w:r>
        <w:rPr>
          <w:rFonts w:hint="eastAsia" w:cs="Times New Roman" w:eastAsiaTheme="minorEastAsia"/>
          <w:color w:val="000000" w:themeColor="text1"/>
          <w:sz w:val="18"/>
          <w:szCs w:val="18"/>
          <w:lang w:val="en-US" w:eastAsia="zh-CN"/>
          <w14:textFill>
            <w14:solidFill>
              <w14:schemeClr w14:val="tx1"/>
            </w14:solidFill>
          </w14:textFill>
        </w:rPr>
        <w:t xml:space="preserve">4 </w:t>
      </w:r>
      <w:r>
        <w:rPr>
          <w:rFonts w:hint="default" w:ascii="Times New Roman" w:hAnsi="Times New Roman" w:cs="Times New Roman" w:eastAsiaTheme="minorEastAsia"/>
          <w:color w:val="000000" w:themeColor="text1"/>
          <w:sz w:val="18"/>
          <w:szCs w:val="18"/>
          <w:lang w:val="en-US" w:eastAsia="zh-CN"/>
          <w14:textFill>
            <w14:solidFill>
              <w14:schemeClr w14:val="tx1"/>
            </w14:solidFill>
          </w14:textFill>
        </w:rPr>
        <w:t xml:space="preserve">that </w:t>
      </w:r>
      <w:r>
        <w:rPr>
          <w:rFonts w:hint="default" w:ascii="Times New Roman" w:hAnsi="Times New Roman" w:cs="Times New Roman"/>
          <w:sz w:val="18"/>
          <w:szCs w:val="18"/>
          <w:lang w:val="sv-SE" w:eastAsia="zh-CN"/>
        </w:rPr>
        <w:t xml:space="preserve">the hopping pattern is denoted as </w:t>
      </w:r>
      <m:oMath>
        <m:sSub>
          <m:sSubPr>
            <m:ctrlPr>
              <w:rPr>
                <w:rFonts w:hint="default" w:ascii="Cambria Math" w:hAnsi="Cambria Math" w:cs="Times New Roman"/>
                <w:i/>
                <w:sz w:val="18"/>
                <w:szCs w:val="18"/>
                <w:lang w:val="sv-SE"/>
              </w:rPr>
            </m:ctrlPr>
          </m:sSubPr>
          <m:e>
            <m:r>
              <w:rPr>
                <w:rFonts w:hint="default" w:ascii="Cambria Math" w:hAnsi="Cambria Math" w:cs="Times New Roman"/>
                <w:sz w:val="18"/>
                <w:szCs w:val="18"/>
                <w:lang w:val="sv-SE"/>
              </w:rPr>
              <m:t>k</m:t>
            </m:r>
            <m:ctrlPr>
              <w:rPr>
                <w:rFonts w:hint="default" w:ascii="Cambria Math" w:hAnsi="Cambria Math" w:cs="Times New Roman"/>
                <w:i/>
                <w:sz w:val="18"/>
                <w:szCs w:val="18"/>
                <w:lang w:val="sv-SE"/>
              </w:rPr>
            </m:ctrlPr>
          </m:e>
          <m:sub>
            <m:r>
              <m:rPr>
                <m:nor/>
                <m:sty m:val="p"/>
              </m:rPr>
              <w:rPr>
                <w:rFonts w:hint="default" w:ascii="Cambria Math" w:hAnsi="Cambria Math" w:cs="Times New Roman"/>
                <w:b w:val="0"/>
                <w:i w:val="0"/>
                <w:sz w:val="18"/>
                <w:szCs w:val="18"/>
              </w:rPr>
              <m:t>hop</m:t>
            </m:r>
            <m:ctrlPr>
              <w:rPr>
                <w:rFonts w:hint="default" w:ascii="Cambria Math" w:hAnsi="Cambria Math" w:cs="Times New Roman"/>
                <w:i/>
                <w:sz w:val="18"/>
                <w:szCs w:val="18"/>
                <w:lang w:val="sv-SE"/>
              </w:rPr>
            </m:ctrlPr>
          </m:sub>
        </m:sSub>
      </m:oMath>
      <w:r>
        <w:rPr>
          <w:rFonts w:hint="eastAsia" w:ascii="Cambria Math" w:hAnsi="Cambria Math" w:eastAsia="宋体" w:cs="Times New Roman"/>
          <w:i w:val="0"/>
          <w:sz w:val="18"/>
          <w:szCs w:val="18"/>
          <w:lang w:val="en-US" w:eastAsia="zh-CN"/>
        </w:rPr>
        <w:t xml:space="preserve"> to keep alignment with TS38.211</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before="120" w:after="60" w:line="260" w:lineRule="auto"/>
        <w:textAlignment w:val="auto"/>
        <w:rPr>
          <w:rFonts w:hint="default"/>
          <w:b/>
          <w:bCs/>
          <w:sz w:val="18"/>
          <w:szCs w:val="18"/>
          <w:u w:val="single"/>
          <w:lang w:val="en-GB" w:eastAsia="zh-CN"/>
        </w:rPr>
      </w:pPr>
      <w:r>
        <w:rPr>
          <w:rFonts w:hint="default"/>
          <w:b/>
          <w:bCs/>
          <w:sz w:val="18"/>
          <w:szCs w:val="18"/>
          <w:u w:val="single"/>
          <w:lang w:val="en-GB" w:eastAsia="zh-CN"/>
        </w:rPr>
        <w:t xml:space="preserve">Consequence </w:t>
      </w:r>
      <w:r>
        <w:rPr>
          <w:rFonts w:hint="default"/>
          <w:b/>
          <w:bCs/>
          <w:sz w:val="18"/>
          <w:szCs w:val="18"/>
          <w:u w:val="single"/>
          <w:lang w:val="en-US" w:eastAsia="zh-CN"/>
        </w:rPr>
        <w:t>if not approved</w:t>
      </w:r>
      <w:r>
        <w:rPr>
          <w:rFonts w:hint="default"/>
          <w:b/>
          <w:bCs/>
          <w:sz w:val="18"/>
          <w:szCs w:val="18"/>
          <w:u w:val="single"/>
          <w:lang w:val="en-GB" w:eastAsia="zh-CN"/>
        </w:rPr>
        <w:t>:</w:t>
      </w:r>
    </w:p>
    <w:p>
      <w:pPr>
        <w:keepNext w:val="0"/>
        <w:keepLines w:val="0"/>
        <w:pageBreakBefore w:val="0"/>
        <w:widowControl/>
        <w:kinsoku/>
        <w:wordWrap/>
        <w:overflowPunct/>
        <w:topLinePunct w:val="0"/>
        <w:autoSpaceDE/>
        <w:autoSpaceDN/>
        <w:bidi w:val="0"/>
        <w:adjustRightInd/>
        <w:snapToGrid/>
        <w:spacing w:line="260" w:lineRule="auto"/>
        <w:textAlignment w:val="auto"/>
        <w:rPr>
          <w:sz w:val="18"/>
          <w:szCs w:val="18"/>
          <w:lang w:eastAsia="zh-CN"/>
        </w:rPr>
      </w:pPr>
      <w:r>
        <w:rPr>
          <w:sz w:val="18"/>
          <w:szCs w:val="18"/>
          <w:lang w:val="en-GB" w:eastAsia="zh-CN"/>
        </w:rPr>
        <w:t>The parameter name for start RB hopping pattern is not aligned in 38.211 and 38.214, which may lead to the misunderstanding.</w:t>
      </w:r>
    </w:p>
    <w:p>
      <w:pPr>
        <w:rPr>
          <w:sz w:val="18"/>
          <w:szCs w:val="18"/>
          <w:lang w:eastAsia="zh-CN"/>
        </w:rPr>
      </w:pPr>
    </w:p>
    <w:p>
      <w:pPr>
        <w:snapToGrid w:val="0"/>
        <w:jc w:val="left"/>
        <w:rPr>
          <w:b/>
          <w:bCs/>
          <w:sz w:val="18"/>
          <w:szCs w:val="18"/>
          <w:lang w:eastAsia="zh-CN"/>
        </w:rPr>
      </w:pPr>
      <w:r>
        <w:rPr>
          <w:b/>
          <w:bCs/>
          <w:sz w:val="18"/>
          <w:szCs w:val="18"/>
          <w:lang w:eastAsia="zh-CN"/>
        </w:rPr>
        <w:t>TP#</w:t>
      </w:r>
      <w:r>
        <w:rPr>
          <w:rFonts w:hint="eastAsia"/>
          <w:b/>
          <w:bCs/>
          <w:sz w:val="18"/>
          <w:szCs w:val="18"/>
          <w:lang w:eastAsia="zh-CN"/>
        </w:rPr>
        <w:t>3-4</w:t>
      </w:r>
      <w:r>
        <w:rPr>
          <w:b/>
          <w:bCs/>
          <w:sz w:val="18"/>
          <w:szCs w:val="18"/>
          <w:lang w:eastAsia="zh-CN"/>
        </w:rPr>
        <w:t xml:space="preserve">: </w:t>
      </w:r>
      <w:r>
        <w:rPr>
          <w:rFonts w:hint="eastAsia"/>
          <w:b/>
          <w:bCs/>
          <w:sz w:val="18"/>
          <w:szCs w:val="18"/>
          <w:lang w:eastAsia="zh-CN"/>
        </w:rPr>
        <w:t>Parameter alignment for start RB hopping</w:t>
      </w:r>
    </w:p>
    <w:tbl>
      <w:tblPr>
        <w:tblStyle w:val="18"/>
        <w:tblW w:w="10033" w:type="dxa"/>
        <w:tblInd w:w="0" w:type="dxa"/>
        <w:tblLayout w:type="fixed"/>
        <w:tblCellMar>
          <w:top w:w="0" w:type="dxa"/>
          <w:left w:w="10" w:type="dxa"/>
          <w:bottom w:w="0" w:type="dxa"/>
          <w:right w:w="10" w:type="dxa"/>
        </w:tblCellMar>
      </w:tblPr>
      <w:tblGrid>
        <w:gridCol w:w="10033"/>
      </w:tblGrid>
      <w:tr>
        <w:tblPrEx>
          <w:tblCellMar>
            <w:top w:w="0" w:type="dxa"/>
            <w:left w:w="10" w:type="dxa"/>
            <w:bottom w:w="0" w:type="dxa"/>
            <w:right w:w="10" w:type="dxa"/>
          </w:tblCellMar>
        </w:tblPrEx>
        <w:trPr>
          <w:trHeight w:val="90" w:hRule="atLeast"/>
        </w:trPr>
        <w:tc>
          <w:tcPr>
            <w:tcW w:w="1003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04"/>
              <w:keepNext w:val="0"/>
              <w:keepLines w:val="0"/>
              <w:pageBreakBefore w:val="0"/>
              <w:widowControl/>
              <w:kinsoku/>
              <w:wordWrap/>
              <w:overflowPunct/>
              <w:topLinePunct w:val="0"/>
              <w:autoSpaceDE/>
              <w:autoSpaceDN/>
              <w:bidi w:val="0"/>
              <w:adjustRightInd/>
              <w:snapToGrid/>
              <w:spacing w:before="60" w:line="260" w:lineRule="auto"/>
              <w:jc w:val="center"/>
              <w:textAlignment w:val="auto"/>
              <w:rPr>
                <w:rFonts w:eastAsiaTheme="minorEastAsia"/>
                <w:color w:val="FF0000"/>
                <w:sz w:val="18"/>
                <w:szCs w:val="18"/>
                <w:lang w:val="en-US" w:eastAsia="zh-CN"/>
              </w:rPr>
            </w:pPr>
            <w:r>
              <w:rPr>
                <w:rFonts w:eastAsiaTheme="minorEastAsia"/>
                <w:color w:val="FF0000"/>
                <w:sz w:val="18"/>
                <w:szCs w:val="18"/>
                <w:lang w:val="en-US" w:eastAsia="zh-CN"/>
              </w:rPr>
              <w:t>&lt;Start of TP for TS38.21</w:t>
            </w:r>
            <w:r>
              <w:rPr>
                <w:rFonts w:hint="eastAsia" w:eastAsiaTheme="minorEastAsia"/>
                <w:color w:val="FF0000"/>
                <w:sz w:val="18"/>
                <w:szCs w:val="18"/>
                <w:lang w:val="en-US" w:eastAsia="zh-CN"/>
              </w:rPr>
              <w:t>4</w:t>
            </w:r>
            <w:r>
              <w:rPr>
                <w:rFonts w:eastAsiaTheme="minorEastAsia"/>
                <w:color w:val="FF0000"/>
                <w:sz w:val="18"/>
                <w:szCs w:val="18"/>
                <w:lang w:val="en-US" w:eastAsia="zh-CN"/>
              </w:rPr>
              <w:t>&gt;</w:t>
            </w:r>
          </w:p>
          <w:p>
            <w:pPr>
              <w:pStyle w:val="75"/>
              <w:ind w:left="0" w:firstLine="0"/>
              <w:rPr>
                <w:b/>
                <w:sz w:val="18"/>
                <w:szCs w:val="18"/>
                <w:lang w:eastAsia="zh-CN"/>
              </w:rPr>
            </w:pPr>
            <w:r>
              <w:rPr>
                <w:b/>
                <w:sz w:val="18"/>
                <w:szCs w:val="18"/>
                <w:lang w:eastAsia="zh-CN"/>
              </w:rPr>
              <w:t>6.</w:t>
            </w:r>
            <w:r>
              <w:rPr>
                <w:rFonts w:hint="eastAsia"/>
                <w:b/>
                <w:sz w:val="18"/>
                <w:szCs w:val="18"/>
                <w:lang w:eastAsia="zh-CN"/>
              </w:rPr>
              <w:t>2.1</w:t>
            </w:r>
            <w:r>
              <w:rPr>
                <w:b/>
                <w:sz w:val="18"/>
                <w:szCs w:val="18"/>
                <w:lang w:eastAsia="zh-CN"/>
              </w:rPr>
              <w:tab/>
            </w:r>
            <w:r>
              <w:rPr>
                <w:b/>
                <w:sz w:val="18"/>
                <w:szCs w:val="18"/>
                <w:lang w:eastAsia="zh-CN"/>
              </w:rPr>
              <w:t>UE sounding procedure</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75"/>
              <w:rPr>
                <w:color w:val="000000"/>
              </w:rPr>
            </w:pPr>
            <w:r>
              <w:rPr>
                <w:color w:val="000000"/>
              </w:rPr>
              <w:t>-</w:t>
            </w:r>
            <w:r>
              <w:rPr>
                <w:color w:val="000000"/>
              </w:rPr>
              <w:tab/>
            </w:r>
            <w:r>
              <w:rPr>
                <w:color w:val="000000"/>
              </w:rPr>
              <w:t xml:space="preserve">Defining start RB index hopping for partial frequency sounding in different SRS frequency hopping periods for aperiodic/periodic/semi-persistent SRS based on the hopping pattern </w:t>
            </w:r>
            <m:oMath>
              <m:sSub>
                <m:sSubPr>
                  <m:ctrlPr>
                    <w:rPr>
                      <w:rFonts w:ascii="Cambria Math" w:hAnsi="Cambria Math"/>
                      <w:i/>
                      <w:color w:val="FF0000"/>
                      <w:lang w:val="sv-SE"/>
                    </w:rPr>
                  </m:ctrlPr>
                </m:sSubPr>
                <m:e>
                  <m:r>
                    <w:rPr>
                      <w:rFonts w:ascii="Cambria Math" w:hAnsi="Cambria Math"/>
                      <w:color w:val="FF0000"/>
                      <w:lang w:val="sv-SE"/>
                    </w:rPr>
                    <m:t>k</m:t>
                  </m:r>
                  <m:ctrlPr>
                    <w:rPr>
                      <w:rFonts w:ascii="Cambria Math" w:hAnsi="Cambria Math"/>
                      <w:i/>
                      <w:color w:val="FF0000"/>
                      <w:lang w:val="sv-SE"/>
                    </w:rPr>
                  </m:ctrlPr>
                </m:e>
                <m:sub>
                  <m:r>
                    <m:rPr>
                      <m:nor/>
                      <m:sty m:val="p"/>
                    </m:rPr>
                    <w:rPr>
                      <w:rFonts w:ascii="Cambria Math" w:hAnsi="Cambria Math"/>
                      <w:b w:val="0"/>
                      <w:i w:val="0"/>
                      <w:color w:val="FF0000"/>
                    </w:rPr>
                    <m:t>hop</m:t>
                  </m:r>
                  <m:ctrlPr>
                    <w:rPr>
                      <w:rFonts w:ascii="Cambria Math" w:hAnsi="Cambria Math"/>
                      <w:i/>
                      <w:color w:val="FF0000"/>
                      <w:lang w:val="sv-SE"/>
                    </w:rPr>
                  </m:ctrlPr>
                </m:sub>
              </m:sSub>
            </m:oMath>
            <w:r>
              <w:rPr>
                <w:i/>
                <w:iCs/>
                <w:strike/>
                <w:color w:val="FF0000"/>
              </w:rPr>
              <w:t>k</w:t>
            </w:r>
            <w:r>
              <w:rPr>
                <w:strike/>
                <w:color w:val="FF0000"/>
                <w:vertAlign w:val="subscript"/>
              </w:rPr>
              <w:t>hopping</w:t>
            </w:r>
            <w:r>
              <w:rPr>
                <w:strike/>
                <w:color w:val="FF0000"/>
              </w:rPr>
              <w:t xml:space="preserve"> </w:t>
            </w:r>
            <w:r>
              <w:rPr>
                <w:color w:val="000000"/>
              </w:rPr>
              <w:t xml:space="preserve">as described in clause 6.4.1.4.3 in [4, TS 38.211. If not configured, then start RB hopping is not enabled and </w:t>
            </w:r>
            <m:oMath>
              <m:sSub>
                <m:sSubPr>
                  <m:ctrlPr>
                    <w:rPr>
                      <w:rFonts w:ascii="Cambria Math" w:hAnsi="Cambria Math"/>
                      <w:i/>
                      <w:color w:val="FF0000"/>
                      <w:lang w:val="sv-SE"/>
                    </w:rPr>
                  </m:ctrlPr>
                </m:sSubPr>
                <m:e>
                  <m:r>
                    <w:rPr>
                      <w:rFonts w:ascii="Cambria Math" w:hAnsi="Cambria Math"/>
                      <w:color w:val="FF0000"/>
                      <w:lang w:val="sv-SE"/>
                    </w:rPr>
                    <m:t>k</m:t>
                  </m:r>
                  <m:ctrlPr>
                    <w:rPr>
                      <w:rFonts w:ascii="Cambria Math" w:hAnsi="Cambria Math"/>
                      <w:i/>
                      <w:color w:val="FF0000"/>
                      <w:lang w:val="sv-SE"/>
                    </w:rPr>
                  </m:ctrlPr>
                </m:e>
                <m:sub>
                  <m:r>
                    <m:rPr>
                      <m:nor/>
                      <m:sty m:val="p"/>
                    </m:rPr>
                    <w:rPr>
                      <w:rFonts w:ascii="Cambria Math" w:hAnsi="Cambria Math"/>
                      <w:b w:val="0"/>
                      <w:i w:val="0"/>
                      <w:color w:val="FF0000"/>
                    </w:rPr>
                    <m:t>hop</m:t>
                  </m:r>
                  <m:ctrlPr>
                    <w:rPr>
                      <w:rFonts w:ascii="Cambria Math" w:hAnsi="Cambria Math"/>
                      <w:i/>
                      <w:color w:val="FF0000"/>
                      <w:lang w:val="sv-SE"/>
                    </w:rPr>
                  </m:ctrlPr>
                </m:sub>
              </m:sSub>
            </m:oMath>
            <w:r>
              <w:rPr>
                <w:i/>
                <w:iCs/>
                <w:strike/>
                <w:color w:val="FF0000"/>
              </w:rPr>
              <w:t>k</w:t>
            </w:r>
            <w:r>
              <w:rPr>
                <w:strike/>
                <w:color w:val="FF0000"/>
                <w:vertAlign w:val="subscript"/>
              </w:rPr>
              <w:t xml:space="preserve">hopping </w:t>
            </w:r>
            <w:r>
              <w:rPr>
                <w:color w:val="000000"/>
              </w:rPr>
              <w:t>is fixed to be 0 for all SRS symbols.</w:t>
            </w:r>
          </w:p>
          <w:p>
            <w:pPr>
              <w:pStyle w:val="104"/>
              <w:rPr>
                <w:rFonts w:eastAsiaTheme="minorEastAsia"/>
                <w:sz w:val="18"/>
                <w:szCs w:val="18"/>
                <w:lang w:val="en-US" w:eastAsia="zh-CN"/>
              </w:rPr>
            </w:pPr>
            <w:r>
              <w:rPr>
                <w:rFonts w:eastAsiaTheme="minorEastAsia"/>
                <w:sz w:val="18"/>
                <w:szCs w:val="18"/>
                <w:lang w:val="en-US" w:eastAsia="zh-CN"/>
              </w:rPr>
              <w:t>&lt;Unrelated part omitted&gt;</w:t>
            </w:r>
          </w:p>
          <w:p>
            <w:pPr>
              <w:pStyle w:val="104"/>
              <w:jc w:val="center"/>
              <w:rPr>
                <w:color w:val="3333FF"/>
                <w:sz w:val="18"/>
                <w:szCs w:val="18"/>
                <w:lang w:val="en-GB" w:eastAsia="zh-CN"/>
              </w:rPr>
            </w:pPr>
            <w:r>
              <w:rPr>
                <w:rFonts w:eastAsiaTheme="minorEastAsia"/>
                <w:color w:val="FF0000"/>
                <w:sz w:val="18"/>
                <w:szCs w:val="18"/>
                <w:lang w:val="en-US" w:eastAsia="zh-CN"/>
              </w:rPr>
              <w:t>&lt;End of TP for TS38.2</w:t>
            </w:r>
            <w:r>
              <w:rPr>
                <w:rFonts w:hint="eastAsia" w:eastAsiaTheme="minorEastAsia"/>
                <w:color w:val="FF0000"/>
                <w:sz w:val="18"/>
                <w:szCs w:val="18"/>
                <w:lang w:val="en-US" w:eastAsia="zh-CN"/>
              </w:rPr>
              <w:t>14</w:t>
            </w:r>
            <w:r>
              <w:rPr>
                <w:rFonts w:eastAsiaTheme="minorEastAsia"/>
                <w:color w:val="FF0000"/>
                <w:sz w:val="18"/>
                <w:szCs w:val="18"/>
                <w:lang w:val="en-US" w:eastAsia="zh-CN"/>
              </w:rPr>
              <w:t>&gt;</w:t>
            </w:r>
          </w:p>
        </w:tc>
      </w:tr>
    </w:tbl>
    <w:p>
      <w:pPr>
        <w:bidi w:val="0"/>
      </w:pPr>
    </w:p>
    <w:p>
      <w:pPr>
        <w:pStyle w:val="2"/>
        <w:numPr>
          <w:ilvl w:val="0"/>
          <w:numId w:val="0"/>
        </w:numPr>
      </w:pPr>
      <w:r>
        <w:t>References</w:t>
      </w:r>
    </w:p>
    <w:p>
      <w:pPr>
        <w:numPr>
          <w:ilvl w:val="0"/>
          <w:numId w:val="9"/>
        </w:numPr>
        <w:bidi w:val="0"/>
        <w:rPr>
          <w:sz w:val="18"/>
          <w:szCs w:val="18"/>
          <w:lang w:val="en-GB"/>
        </w:rPr>
      </w:pPr>
      <w:r>
        <w:rPr>
          <w:rFonts w:hint="eastAsia"/>
          <w:sz w:val="18"/>
          <w:szCs w:val="18"/>
          <w:lang w:val="en-US" w:eastAsia="zh-CN"/>
        </w:rPr>
        <w:t>R1-2205195 Moderator summary #1 for Maintenance on Rel-17 SRS, Moderator (ZTE).</w:t>
      </w:r>
    </w:p>
    <w:p>
      <w:pPr>
        <w:rPr>
          <w:rFonts w:hint="default" w:eastAsia="等线"/>
          <w:lang w:val="en-US" w:eastAsia="zh-CN"/>
        </w:rPr>
      </w:pPr>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0000005"/>
    <w:multiLevelType w:val="multilevel"/>
    <w:tmpl w:val="00000005"/>
    <w:lvl w:ilvl="0" w:tentative="0">
      <w:start w:val="1"/>
      <w:numFmt w:val="decimal"/>
      <w:pStyle w:val="44"/>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49"/>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4"/>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2"/>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2"/>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9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5A76"/>
    <w:rsid w:val="000A601C"/>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A45"/>
    <w:rsid w:val="000C77D9"/>
    <w:rsid w:val="000D0394"/>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2251"/>
    <w:rsid w:val="000F3F2A"/>
    <w:rsid w:val="000F3F7D"/>
    <w:rsid w:val="0010042E"/>
    <w:rsid w:val="00100859"/>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927"/>
    <w:rsid w:val="00151FB4"/>
    <w:rsid w:val="00152FFC"/>
    <w:rsid w:val="001536E3"/>
    <w:rsid w:val="00157332"/>
    <w:rsid w:val="001579F2"/>
    <w:rsid w:val="00157C57"/>
    <w:rsid w:val="001616D4"/>
    <w:rsid w:val="00161818"/>
    <w:rsid w:val="00161B78"/>
    <w:rsid w:val="00162D8B"/>
    <w:rsid w:val="001630B7"/>
    <w:rsid w:val="001637F4"/>
    <w:rsid w:val="00166639"/>
    <w:rsid w:val="00166D5C"/>
    <w:rsid w:val="001670EE"/>
    <w:rsid w:val="00171F76"/>
    <w:rsid w:val="00172EBA"/>
    <w:rsid w:val="00173C2E"/>
    <w:rsid w:val="00174C4B"/>
    <w:rsid w:val="00174C75"/>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E07"/>
    <w:rsid w:val="0019169D"/>
    <w:rsid w:val="0019305E"/>
    <w:rsid w:val="00193D08"/>
    <w:rsid w:val="00193F6A"/>
    <w:rsid w:val="00195F89"/>
    <w:rsid w:val="00196D51"/>
    <w:rsid w:val="00197CB8"/>
    <w:rsid w:val="001A0F33"/>
    <w:rsid w:val="001A1BF2"/>
    <w:rsid w:val="001A1F4D"/>
    <w:rsid w:val="001A358D"/>
    <w:rsid w:val="001A391D"/>
    <w:rsid w:val="001A5859"/>
    <w:rsid w:val="001A6D1C"/>
    <w:rsid w:val="001A7712"/>
    <w:rsid w:val="001A7787"/>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5FC9"/>
    <w:rsid w:val="00256DAD"/>
    <w:rsid w:val="00257557"/>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6D01"/>
    <w:rsid w:val="0029009E"/>
    <w:rsid w:val="002915B4"/>
    <w:rsid w:val="00291B8B"/>
    <w:rsid w:val="00292C69"/>
    <w:rsid w:val="002948C1"/>
    <w:rsid w:val="00294DFF"/>
    <w:rsid w:val="00297399"/>
    <w:rsid w:val="0029781E"/>
    <w:rsid w:val="00297886"/>
    <w:rsid w:val="002A01D2"/>
    <w:rsid w:val="002A0B09"/>
    <w:rsid w:val="002A1119"/>
    <w:rsid w:val="002A175D"/>
    <w:rsid w:val="002A2BFE"/>
    <w:rsid w:val="002A4128"/>
    <w:rsid w:val="002A4254"/>
    <w:rsid w:val="002A431D"/>
    <w:rsid w:val="002A44B9"/>
    <w:rsid w:val="002A71A4"/>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2D58"/>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40FE"/>
    <w:rsid w:val="003878A1"/>
    <w:rsid w:val="00390634"/>
    <w:rsid w:val="00390FB3"/>
    <w:rsid w:val="0039186E"/>
    <w:rsid w:val="00391B52"/>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7682"/>
    <w:rsid w:val="003D0D93"/>
    <w:rsid w:val="003D0EE9"/>
    <w:rsid w:val="003D1BFF"/>
    <w:rsid w:val="003D1EDC"/>
    <w:rsid w:val="003D23B2"/>
    <w:rsid w:val="003D28D3"/>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6198"/>
    <w:rsid w:val="00437633"/>
    <w:rsid w:val="00437EF5"/>
    <w:rsid w:val="00440135"/>
    <w:rsid w:val="00440E7E"/>
    <w:rsid w:val="004415F8"/>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244B"/>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C8D"/>
    <w:rsid w:val="0049387F"/>
    <w:rsid w:val="00493ED3"/>
    <w:rsid w:val="00494728"/>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8A2"/>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63A6"/>
    <w:rsid w:val="005009A0"/>
    <w:rsid w:val="005031ED"/>
    <w:rsid w:val="005041F4"/>
    <w:rsid w:val="00505615"/>
    <w:rsid w:val="00505FBB"/>
    <w:rsid w:val="00506483"/>
    <w:rsid w:val="005070E3"/>
    <w:rsid w:val="0050741C"/>
    <w:rsid w:val="00507E3D"/>
    <w:rsid w:val="00510789"/>
    <w:rsid w:val="00510E4A"/>
    <w:rsid w:val="00512F9C"/>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4239"/>
    <w:rsid w:val="005606C5"/>
    <w:rsid w:val="005611BF"/>
    <w:rsid w:val="00562332"/>
    <w:rsid w:val="005642F4"/>
    <w:rsid w:val="00566A85"/>
    <w:rsid w:val="00573255"/>
    <w:rsid w:val="00573274"/>
    <w:rsid w:val="005737F2"/>
    <w:rsid w:val="005740E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565"/>
    <w:rsid w:val="006155EF"/>
    <w:rsid w:val="006159D4"/>
    <w:rsid w:val="00616358"/>
    <w:rsid w:val="00617252"/>
    <w:rsid w:val="006172E1"/>
    <w:rsid w:val="00617433"/>
    <w:rsid w:val="006202CE"/>
    <w:rsid w:val="00620C0B"/>
    <w:rsid w:val="00621A3A"/>
    <w:rsid w:val="006227A2"/>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54FC"/>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41B9"/>
    <w:rsid w:val="00694BDC"/>
    <w:rsid w:val="006964F9"/>
    <w:rsid w:val="00696F16"/>
    <w:rsid w:val="006979C1"/>
    <w:rsid w:val="00697F6E"/>
    <w:rsid w:val="00697FA0"/>
    <w:rsid w:val="00697FC9"/>
    <w:rsid w:val="006A02EA"/>
    <w:rsid w:val="006A0304"/>
    <w:rsid w:val="006A07A0"/>
    <w:rsid w:val="006A18FA"/>
    <w:rsid w:val="006A1CC8"/>
    <w:rsid w:val="006A2F56"/>
    <w:rsid w:val="006A3A8A"/>
    <w:rsid w:val="006A4B2C"/>
    <w:rsid w:val="006B100C"/>
    <w:rsid w:val="006B16EE"/>
    <w:rsid w:val="006B34A5"/>
    <w:rsid w:val="006B448A"/>
    <w:rsid w:val="006B4F0C"/>
    <w:rsid w:val="006B50B8"/>
    <w:rsid w:val="006C117E"/>
    <w:rsid w:val="006C16F5"/>
    <w:rsid w:val="006C1C52"/>
    <w:rsid w:val="006C2C3B"/>
    <w:rsid w:val="006C2E13"/>
    <w:rsid w:val="006C3BE9"/>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F5"/>
    <w:rsid w:val="007F5D42"/>
    <w:rsid w:val="008001DD"/>
    <w:rsid w:val="008012E7"/>
    <w:rsid w:val="008014C2"/>
    <w:rsid w:val="008024CC"/>
    <w:rsid w:val="00802A21"/>
    <w:rsid w:val="00802AC2"/>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E6F"/>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FD3"/>
    <w:rsid w:val="008633DC"/>
    <w:rsid w:val="008645FE"/>
    <w:rsid w:val="00864CE8"/>
    <w:rsid w:val="00865E31"/>
    <w:rsid w:val="00866B6B"/>
    <w:rsid w:val="00867736"/>
    <w:rsid w:val="008718CD"/>
    <w:rsid w:val="0087219B"/>
    <w:rsid w:val="00872219"/>
    <w:rsid w:val="008749E8"/>
    <w:rsid w:val="00875F62"/>
    <w:rsid w:val="00876518"/>
    <w:rsid w:val="00876545"/>
    <w:rsid w:val="00880717"/>
    <w:rsid w:val="008818E7"/>
    <w:rsid w:val="00882A98"/>
    <w:rsid w:val="00882B8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71EB"/>
    <w:rsid w:val="008D02B7"/>
    <w:rsid w:val="008D050F"/>
    <w:rsid w:val="008D13E0"/>
    <w:rsid w:val="008D2202"/>
    <w:rsid w:val="008D23F4"/>
    <w:rsid w:val="008D2459"/>
    <w:rsid w:val="008D2EB1"/>
    <w:rsid w:val="008D2F74"/>
    <w:rsid w:val="008D36B3"/>
    <w:rsid w:val="008D3A0E"/>
    <w:rsid w:val="008D3EF8"/>
    <w:rsid w:val="008D4DB1"/>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4D5"/>
    <w:rsid w:val="00937792"/>
    <w:rsid w:val="00937D9A"/>
    <w:rsid w:val="00941201"/>
    <w:rsid w:val="00942BBD"/>
    <w:rsid w:val="009431AD"/>
    <w:rsid w:val="00943E78"/>
    <w:rsid w:val="00945B2C"/>
    <w:rsid w:val="00946B67"/>
    <w:rsid w:val="0094702F"/>
    <w:rsid w:val="00947442"/>
    <w:rsid w:val="00947A2D"/>
    <w:rsid w:val="009509EC"/>
    <w:rsid w:val="00950C54"/>
    <w:rsid w:val="0095151B"/>
    <w:rsid w:val="00951592"/>
    <w:rsid w:val="0095275B"/>
    <w:rsid w:val="00952BB3"/>
    <w:rsid w:val="00953D8F"/>
    <w:rsid w:val="00953EB2"/>
    <w:rsid w:val="00954786"/>
    <w:rsid w:val="00954854"/>
    <w:rsid w:val="00955270"/>
    <w:rsid w:val="009555D9"/>
    <w:rsid w:val="00960CBC"/>
    <w:rsid w:val="0096153C"/>
    <w:rsid w:val="009619EB"/>
    <w:rsid w:val="00962461"/>
    <w:rsid w:val="00962AF6"/>
    <w:rsid w:val="009631D1"/>
    <w:rsid w:val="00963677"/>
    <w:rsid w:val="00963B01"/>
    <w:rsid w:val="0096401F"/>
    <w:rsid w:val="00964139"/>
    <w:rsid w:val="00965AE3"/>
    <w:rsid w:val="00966B34"/>
    <w:rsid w:val="00966FF3"/>
    <w:rsid w:val="00970002"/>
    <w:rsid w:val="00970477"/>
    <w:rsid w:val="0097180A"/>
    <w:rsid w:val="0097247E"/>
    <w:rsid w:val="00972FAD"/>
    <w:rsid w:val="00975997"/>
    <w:rsid w:val="00975E73"/>
    <w:rsid w:val="00981467"/>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633A"/>
    <w:rsid w:val="009A726C"/>
    <w:rsid w:val="009A73A6"/>
    <w:rsid w:val="009A7BB1"/>
    <w:rsid w:val="009B19F2"/>
    <w:rsid w:val="009B2AC6"/>
    <w:rsid w:val="009B2C19"/>
    <w:rsid w:val="009B4A75"/>
    <w:rsid w:val="009B52AA"/>
    <w:rsid w:val="009B60E6"/>
    <w:rsid w:val="009C02BD"/>
    <w:rsid w:val="009C0473"/>
    <w:rsid w:val="009C0CBB"/>
    <w:rsid w:val="009C3909"/>
    <w:rsid w:val="009C41FA"/>
    <w:rsid w:val="009C4A30"/>
    <w:rsid w:val="009C5431"/>
    <w:rsid w:val="009C592B"/>
    <w:rsid w:val="009C598C"/>
    <w:rsid w:val="009C6426"/>
    <w:rsid w:val="009C7F08"/>
    <w:rsid w:val="009D00B9"/>
    <w:rsid w:val="009D0F9B"/>
    <w:rsid w:val="009D1C3A"/>
    <w:rsid w:val="009D51F6"/>
    <w:rsid w:val="009D554A"/>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C02"/>
    <w:rsid w:val="009E6EFA"/>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A50"/>
    <w:rsid w:val="00A22EFE"/>
    <w:rsid w:val="00A23B55"/>
    <w:rsid w:val="00A245FC"/>
    <w:rsid w:val="00A24707"/>
    <w:rsid w:val="00A25461"/>
    <w:rsid w:val="00A2587E"/>
    <w:rsid w:val="00A25AB2"/>
    <w:rsid w:val="00A267D5"/>
    <w:rsid w:val="00A27915"/>
    <w:rsid w:val="00A27D6B"/>
    <w:rsid w:val="00A32E3D"/>
    <w:rsid w:val="00A33F06"/>
    <w:rsid w:val="00A361C6"/>
    <w:rsid w:val="00A37B8F"/>
    <w:rsid w:val="00A37BE9"/>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135C"/>
    <w:rsid w:val="00A7254C"/>
    <w:rsid w:val="00A72C69"/>
    <w:rsid w:val="00A73E16"/>
    <w:rsid w:val="00A743AC"/>
    <w:rsid w:val="00A746E8"/>
    <w:rsid w:val="00A76272"/>
    <w:rsid w:val="00A764DD"/>
    <w:rsid w:val="00A765E6"/>
    <w:rsid w:val="00A76E53"/>
    <w:rsid w:val="00A7780A"/>
    <w:rsid w:val="00A8044E"/>
    <w:rsid w:val="00A81768"/>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5339"/>
    <w:rsid w:val="00AD598F"/>
    <w:rsid w:val="00AD6040"/>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749"/>
    <w:rsid w:val="00AF2C1E"/>
    <w:rsid w:val="00AF2ED7"/>
    <w:rsid w:val="00AF30A9"/>
    <w:rsid w:val="00AF7FE3"/>
    <w:rsid w:val="00B0062A"/>
    <w:rsid w:val="00B016AD"/>
    <w:rsid w:val="00B020DD"/>
    <w:rsid w:val="00B022EC"/>
    <w:rsid w:val="00B02AA0"/>
    <w:rsid w:val="00B0315E"/>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4EB"/>
    <w:rsid w:val="00B64F5D"/>
    <w:rsid w:val="00B6540A"/>
    <w:rsid w:val="00B662C8"/>
    <w:rsid w:val="00B674DE"/>
    <w:rsid w:val="00B709F8"/>
    <w:rsid w:val="00B72260"/>
    <w:rsid w:val="00B722EA"/>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2187"/>
    <w:rsid w:val="00C12DC9"/>
    <w:rsid w:val="00C13B3A"/>
    <w:rsid w:val="00C14D74"/>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CBD"/>
    <w:rsid w:val="00C551F0"/>
    <w:rsid w:val="00C6069C"/>
    <w:rsid w:val="00C60EF5"/>
    <w:rsid w:val="00C62066"/>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845"/>
    <w:rsid w:val="00CC4EDF"/>
    <w:rsid w:val="00CC4F3F"/>
    <w:rsid w:val="00CD00B6"/>
    <w:rsid w:val="00CD00DC"/>
    <w:rsid w:val="00CD06EE"/>
    <w:rsid w:val="00CD19DF"/>
    <w:rsid w:val="00CD25A0"/>
    <w:rsid w:val="00CD2A08"/>
    <w:rsid w:val="00CD2A60"/>
    <w:rsid w:val="00CD2F04"/>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434B"/>
    <w:rsid w:val="00D04FE3"/>
    <w:rsid w:val="00D0533C"/>
    <w:rsid w:val="00D05426"/>
    <w:rsid w:val="00D05BF8"/>
    <w:rsid w:val="00D1074F"/>
    <w:rsid w:val="00D11900"/>
    <w:rsid w:val="00D12BAF"/>
    <w:rsid w:val="00D147DD"/>
    <w:rsid w:val="00D14A7D"/>
    <w:rsid w:val="00D166AD"/>
    <w:rsid w:val="00D1694D"/>
    <w:rsid w:val="00D16B40"/>
    <w:rsid w:val="00D16BEA"/>
    <w:rsid w:val="00D20088"/>
    <w:rsid w:val="00D20179"/>
    <w:rsid w:val="00D20DF3"/>
    <w:rsid w:val="00D21559"/>
    <w:rsid w:val="00D21D9E"/>
    <w:rsid w:val="00D257F6"/>
    <w:rsid w:val="00D25ECD"/>
    <w:rsid w:val="00D262A0"/>
    <w:rsid w:val="00D30575"/>
    <w:rsid w:val="00D306D2"/>
    <w:rsid w:val="00D314AC"/>
    <w:rsid w:val="00D31956"/>
    <w:rsid w:val="00D3216F"/>
    <w:rsid w:val="00D32817"/>
    <w:rsid w:val="00D32BFD"/>
    <w:rsid w:val="00D35E2F"/>
    <w:rsid w:val="00D35E32"/>
    <w:rsid w:val="00D364C8"/>
    <w:rsid w:val="00D36CA8"/>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80C59"/>
    <w:rsid w:val="00D861B7"/>
    <w:rsid w:val="00D86925"/>
    <w:rsid w:val="00D86984"/>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7FF"/>
    <w:rsid w:val="00E20EC6"/>
    <w:rsid w:val="00E2183E"/>
    <w:rsid w:val="00E2213E"/>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F05"/>
    <w:rsid w:val="00E40703"/>
    <w:rsid w:val="00E41411"/>
    <w:rsid w:val="00E4173B"/>
    <w:rsid w:val="00E432D2"/>
    <w:rsid w:val="00E436B4"/>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DAE"/>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133B"/>
    <w:rsid w:val="00EA209B"/>
    <w:rsid w:val="00EA23F0"/>
    <w:rsid w:val="00EA3BEE"/>
    <w:rsid w:val="00EA428A"/>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47BC"/>
    <w:rsid w:val="00F959A8"/>
    <w:rsid w:val="00F96BA4"/>
    <w:rsid w:val="00F972F4"/>
    <w:rsid w:val="00F97CBD"/>
    <w:rsid w:val="00FA4283"/>
    <w:rsid w:val="00FA5623"/>
    <w:rsid w:val="00FB0D36"/>
    <w:rsid w:val="00FB40D8"/>
    <w:rsid w:val="00FB69DA"/>
    <w:rsid w:val="00FB6A74"/>
    <w:rsid w:val="00FB6FCB"/>
    <w:rsid w:val="00FB7059"/>
    <w:rsid w:val="00FB7965"/>
    <w:rsid w:val="00FC0094"/>
    <w:rsid w:val="00FC241A"/>
    <w:rsid w:val="00FC2CC3"/>
    <w:rsid w:val="00FC2FFE"/>
    <w:rsid w:val="00FC3E10"/>
    <w:rsid w:val="00FC458C"/>
    <w:rsid w:val="00FC4853"/>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3C46"/>
    <w:rsid w:val="00FF433A"/>
    <w:rsid w:val="00FF4A4C"/>
    <w:rsid w:val="00FF4F57"/>
    <w:rsid w:val="00FF52C2"/>
    <w:rsid w:val="00FF5EFD"/>
    <w:rsid w:val="00FF6964"/>
    <w:rsid w:val="00FF7A87"/>
    <w:rsid w:val="00FF7E45"/>
    <w:rsid w:val="011B294C"/>
    <w:rsid w:val="012F605E"/>
    <w:rsid w:val="02060815"/>
    <w:rsid w:val="023D6B59"/>
    <w:rsid w:val="02881FB3"/>
    <w:rsid w:val="02A06DFD"/>
    <w:rsid w:val="02CC7E21"/>
    <w:rsid w:val="032962F0"/>
    <w:rsid w:val="032C3EAD"/>
    <w:rsid w:val="032C41E2"/>
    <w:rsid w:val="03A87018"/>
    <w:rsid w:val="03F72C1D"/>
    <w:rsid w:val="04274A9B"/>
    <w:rsid w:val="044A2950"/>
    <w:rsid w:val="055C05D5"/>
    <w:rsid w:val="05725D89"/>
    <w:rsid w:val="05CF66D1"/>
    <w:rsid w:val="05DF1533"/>
    <w:rsid w:val="06180451"/>
    <w:rsid w:val="062A3AA0"/>
    <w:rsid w:val="06504EE5"/>
    <w:rsid w:val="06680D99"/>
    <w:rsid w:val="06746AED"/>
    <w:rsid w:val="067750BB"/>
    <w:rsid w:val="06991905"/>
    <w:rsid w:val="06B82090"/>
    <w:rsid w:val="07087FF6"/>
    <w:rsid w:val="072827B9"/>
    <w:rsid w:val="07403B9C"/>
    <w:rsid w:val="078425E2"/>
    <w:rsid w:val="07AC5670"/>
    <w:rsid w:val="07AE3B59"/>
    <w:rsid w:val="07E23439"/>
    <w:rsid w:val="07E83383"/>
    <w:rsid w:val="084068B1"/>
    <w:rsid w:val="08736201"/>
    <w:rsid w:val="08BC62FE"/>
    <w:rsid w:val="09342F68"/>
    <w:rsid w:val="099C12E4"/>
    <w:rsid w:val="09A62715"/>
    <w:rsid w:val="09C43C42"/>
    <w:rsid w:val="09D1504B"/>
    <w:rsid w:val="09E272FB"/>
    <w:rsid w:val="0A857AB0"/>
    <w:rsid w:val="0A8D71B4"/>
    <w:rsid w:val="0A9929FF"/>
    <w:rsid w:val="0B1E07D9"/>
    <w:rsid w:val="0B334A2A"/>
    <w:rsid w:val="0B5C2CE2"/>
    <w:rsid w:val="0B655444"/>
    <w:rsid w:val="0B930EC9"/>
    <w:rsid w:val="0C380B58"/>
    <w:rsid w:val="0C387300"/>
    <w:rsid w:val="0C616E23"/>
    <w:rsid w:val="0DDC3D40"/>
    <w:rsid w:val="0DE2644C"/>
    <w:rsid w:val="0E2E6BFA"/>
    <w:rsid w:val="0E7B2AB6"/>
    <w:rsid w:val="0E9813F8"/>
    <w:rsid w:val="0EEB5365"/>
    <w:rsid w:val="0F01193F"/>
    <w:rsid w:val="0F1D70A0"/>
    <w:rsid w:val="0F525C9A"/>
    <w:rsid w:val="0F8126F4"/>
    <w:rsid w:val="0F995EB7"/>
    <w:rsid w:val="0FCC03CD"/>
    <w:rsid w:val="0FE45283"/>
    <w:rsid w:val="1036463E"/>
    <w:rsid w:val="10D77AC7"/>
    <w:rsid w:val="113B56CD"/>
    <w:rsid w:val="115719D7"/>
    <w:rsid w:val="115A3367"/>
    <w:rsid w:val="11F10166"/>
    <w:rsid w:val="12127F19"/>
    <w:rsid w:val="121429C8"/>
    <w:rsid w:val="1219513F"/>
    <w:rsid w:val="12263EBD"/>
    <w:rsid w:val="1234365A"/>
    <w:rsid w:val="126F6EE5"/>
    <w:rsid w:val="12710F1A"/>
    <w:rsid w:val="12886DF0"/>
    <w:rsid w:val="12C13DE8"/>
    <w:rsid w:val="12C80E97"/>
    <w:rsid w:val="12CD777A"/>
    <w:rsid w:val="12D9121A"/>
    <w:rsid w:val="12EF6B68"/>
    <w:rsid w:val="12F103D6"/>
    <w:rsid w:val="133B6764"/>
    <w:rsid w:val="139948A7"/>
    <w:rsid w:val="13B15C0D"/>
    <w:rsid w:val="13D759B3"/>
    <w:rsid w:val="13F02C14"/>
    <w:rsid w:val="13F11B78"/>
    <w:rsid w:val="141C0EAF"/>
    <w:rsid w:val="14BC11D6"/>
    <w:rsid w:val="152A2227"/>
    <w:rsid w:val="164D0B41"/>
    <w:rsid w:val="168D4626"/>
    <w:rsid w:val="169876E1"/>
    <w:rsid w:val="169B1C44"/>
    <w:rsid w:val="16AD06C2"/>
    <w:rsid w:val="179E597B"/>
    <w:rsid w:val="17C609A0"/>
    <w:rsid w:val="180C2E88"/>
    <w:rsid w:val="18803647"/>
    <w:rsid w:val="189E061E"/>
    <w:rsid w:val="18C62560"/>
    <w:rsid w:val="18EA437E"/>
    <w:rsid w:val="19966474"/>
    <w:rsid w:val="19DE376D"/>
    <w:rsid w:val="19F673D9"/>
    <w:rsid w:val="1A0328D5"/>
    <w:rsid w:val="1A1D3BAA"/>
    <w:rsid w:val="1A276521"/>
    <w:rsid w:val="1ACC4DF4"/>
    <w:rsid w:val="1AD55200"/>
    <w:rsid w:val="1AE203DB"/>
    <w:rsid w:val="1AFD72D0"/>
    <w:rsid w:val="1B5468A1"/>
    <w:rsid w:val="1BAF4B0F"/>
    <w:rsid w:val="1C3835A3"/>
    <w:rsid w:val="1CB035C0"/>
    <w:rsid w:val="1CD87C76"/>
    <w:rsid w:val="1CDF7B17"/>
    <w:rsid w:val="1D195C47"/>
    <w:rsid w:val="1D6C26EC"/>
    <w:rsid w:val="1D83739D"/>
    <w:rsid w:val="1D876D6F"/>
    <w:rsid w:val="1DFE2727"/>
    <w:rsid w:val="1E094549"/>
    <w:rsid w:val="1E3234CD"/>
    <w:rsid w:val="1EA24205"/>
    <w:rsid w:val="1EA6525D"/>
    <w:rsid w:val="1EAD2614"/>
    <w:rsid w:val="1EC41999"/>
    <w:rsid w:val="1EE26DEE"/>
    <w:rsid w:val="1EE66442"/>
    <w:rsid w:val="1F23237D"/>
    <w:rsid w:val="1F29358B"/>
    <w:rsid w:val="1F5A7916"/>
    <w:rsid w:val="1F9B621A"/>
    <w:rsid w:val="1FC31E56"/>
    <w:rsid w:val="1FE14161"/>
    <w:rsid w:val="202E1FA2"/>
    <w:rsid w:val="204E4B48"/>
    <w:rsid w:val="20912094"/>
    <w:rsid w:val="20BF1C49"/>
    <w:rsid w:val="20DC0F13"/>
    <w:rsid w:val="20E15F42"/>
    <w:rsid w:val="210A7273"/>
    <w:rsid w:val="212A31B8"/>
    <w:rsid w:val="21353431"/>
    <w:rsid w:val="216D0F79"/>
    <w:rsid w:val="21B2690E"/>
    <w:rsid w:val="21DE043E"/>
    <w:rsid w:val="21EE7C76"/>
    <w:rsid w:val="21F80B46"/>
    <w:rsid w:val="22294CFF"/>
    <w:rsid w:val="22411890"/>
    <w:rsid w:val="227518B8"/>
    <w:rsid w:val="228A683C"/>
    <w:rsid w:val="228E62D2"/>
    <w:rsid w:val="22CC28AF"/>
    <w:rsid w:val="22E10CD2"/>
    <w:rsid w:val="23281A17"/>
    <w:rsid w:val="239F0AF1"/>
    <w:rsid w:val="23B178C6"/>
    <w:rsid w:val="23F815F8"/>
    <w:rsid w:val="242558A0"/>
    <w:rsid w:val="249F275A"/>
    <w:rsid w:val="24C2124F"/>
    <w:rsid w:val="25304060"/>
    <w:rsid w:val="25A301F0"/>
    <w:rsid w:val="25EE4956"/>
    <w:rsid w:val="25F268CE"/>
    <w:rsid w:val="26126894"/>
    <w:rsid w:val="26537076"/>
    <w:rsid w:val="26874CC3"/>
    <w:rsid w:val="268C0EA3"/>
    <w:rsid w:val="26CD7E35"/>
    <w:rsid w:val="27153E14"/>
    <w:rsid w:val="27833CD0"/>
    <w:rsid w:val="27E83333"/>
    <w:rsid w:val="282C34FD"/>
    <w:rsid w:val="287A059F"/>
    <w:rsid w:val="287C6826"/>
    <w:rsid w:val="28FF6137"/>
    <w:rsid w:val="294B6EB2"/>
    <w:rsid w:val="297945F6"/>
    <w:rsid w:val="29B66966"/>
    <w:rsid w:val="2A9806ED"/>
    <w:rsid w:val="2AD930A0"/>
    <w:rsid w:val="2AF17143"/>
    <w:rsid w:val="2B0466FF"/>
    <w:rsid w:val="2B74008E"/>
    <w:rsid w:val="2C2C7B16"/>
    <w:rsid w:val="2C727815"/>
    <w:rsid w:val="2C860A99"/>
    <w:rsid w:val="2CDB5DF0"/>
    <w:rsid w:val="2D432AA0"/>
    <w:rsid w:val="2DE26ABF"/>
    <w:rsid w:val="2DF2303F"/>
    <w:rsid w:val="2E53525E"/>
    <w:rsid w:val="2E9A6EFE"/>
    <w:rsid w:val="2EAF4BEF"/>
    <w:rsid w:val="2ECB2D8B"/>
    <w:rsid w:val="2F013036"/>
    <w:rsid w:val="2F066DCC"/>
    <w:rsid w:val="2F573488"/>
    <w:rsid w:val="2F6055BF"/>
    <w:rsid w:val="3013615F"/>
    <w:rsid w:val="301B6B1B"/>
    <w:rsid w:val="3020729F"/>
    <w:rsid w:val="302537D8"/>
    <w:rsid w:val="304253CE"/>
    <w:rsid w:val="30C300CB"/>
    <w:rsid w:val="316E4F7B"/>
    <w:rsid w:val="31E51769"/>
    <w:rsid w:val="32103699"/>
    <w:rsid w:val="325451D8"/>
    <w:rsid w:val="325C6031"/>
    <w:rsid w:val="32930568"/>
    <w:rsid w:val="32D34B3A"/>
    <w:rsid w:val="32F43AFD"/>
    <w:rsid w:val="33733C9B"/>
    <w:rsid w:val="33D334C4"/>
    <w:rsid w:val="33E16DC7"/>
    <w:rsid w:val="340F1FED"/>
    <w:rsid w:val="348A4F30"/>
    <w:rsid w:val="34D21B70"/>
    <w:rsid w:val="350A7538"/>
    <w:rsid w:val="351D3EC5"/>
    <w:rsid w:val="3530082C"/>
    <w:rsid w:val="355361E0"/>
    <w:rsid w:val="358F10B1"/>
    <w:rsid w:val="359F6BD7"/>
    <w:rsid w:val="35E3091E"/>
    <w:rsid w:val="36250321"/>
    <w:rsid w:val="363D42BB"/>
    <w:rsid w:val="36434CAB"/>
    <w:rsid w:val="365433D8"/>
    <w:rsid w:val="366B0E3A"/>
    <w:rsid w:val="36701EAB"/>
    <w:rsid w:val="36F47AFA"/>
    <w:rsid w:val="37022AE0"/>
    <w:rsid w:val="379E7559"/>
    <w:rsid w:val="37E10759"/>
    <w:rsid w:val="38463385"/>
    <w:rsid w:val="388472F8"/>
    <w:rsid w:val="38DE3088"/>
    <w:rsid w:val="38EE1325"/>
    <w:rsid w:val="38EF7F2C"/>
    <w:rsid w:val="38FC5F79"/>
    <w:rsid w:val="38FC72B4"/>
    <w:rsid w:val="39C166A6"/>
    <w:rsid w:val="3A00416C"/>
    <w:rsid w:val="3A2109DF"/>
    <w:rsid w:val="3A8D4DC9"/>
    <w:rsid w:val="3AC26820"/>
    <w:rsid w:val="3B110104"/>
    <w:rsid w:val="3B1D6499"/>
    <w:rsid w:val="3B6B377F"/>
    <w:rsid w:val="3C0E5A98"/>
    <w:rsid w:val="3C5A104A"/>
    <w:rsid w:val="3C5D49F0"/>
    <w:rsid w:val="3C6A01BC"/>
    <w:rsid w:val="3C89317D"/>
    <w:rsid w:val="3CCC438D"/>
    <w:rsid w:val="3D03745C"/>
    <w:rsid w:val="3D26500D"/>
    <w:rsid w:val="3D2A2C48"/>
    <w:rsid w:val="3D3719B0"/>
    <w:rsid w:val="3D5E5818"/>
    <w:rsid w:val="3D6D27E2"/>
    <w:rsid w:val="3E157634"/>
    <w:rsid w:val="3E63691A"/>
    <w:rsid w:val="3E854EB1"/>
    <w:rsid w:val="3E9E2450"/>
    <w:rsid w:val="3EBB5A30"/>
    <w:rsid w:val="3EFA5FE1"/>
    <w:rsid w:val="3F04518C"/>
    <w:rsid w:val="3FC65E7F"/>
    <w:rsid w:val="3FF35220"/>
    <w:rsid w:val="400C72F0"/>
    <w:rsid w:val="404E707C"/>
    <w:rsid w:val="40555DCC"/>
    <w:rsid w:val="40C21AE7"/>
    <w:rsid w:val="41686F0A"/>
    <w:rsid w:val="41B62CC7"/>
    <w:rsid w:val="41FC721D"/>
    <w:rsid w:val="42122875"/>
    <w:rsid w:val="421D0A42"/>
    <w:rsid w:val="423038EE"/>
    <w:rsid w:val="423A4445"/>
    <w:rsid w:val="42A1693C"/>
    <w:rsid w:val="42C8734A"/>
    <w:rsid w:val="42EA170C"/>
    <w:rsid w:val="42EC22CB"/>
    <w:rsid w:val="43612517"/>
    <w:rsid w:val="437A38AC"/>
    <w:rsid w:val="43E91929"/>
    <w:rsid w:val="44435E31"/>
    <w:rsid w:val="44510B62"/>
    <w:rsid w:val="44666EEF"/>
    <w:rsid w:val="44963E54"/>
    <w:rsid w:val="44AA6DD9"/>
    <w:rsid w:val="44B203E4"/>
    <w:rsid w:val="44C3436B"/>
    <w:rsid w:val="45162177"/>
    <w:rsid w:val="45611833"/>
    <w:rsid w:val="456157D1"/>
    <w:rsid w:val="45656FC2"/>
    <w:rsid w:val="45AE6788"/>
    <w:rsid w:val="45EF389F"/>
    <w:rsid w:val="46C35BB9"/>
    <w:rsid w:val="46E80831"/>
    <w:rsid w:val="46E94EBD"/>
    <w:rsid w:val="46F410B1"/>
    <w:rsid w:val="471D39F3"/>
    <w:rsid w:val="472D0D05"/>
    <w:rsid w:val="48601F80"/>
    <w:rsid w:val="487E34EC"/>
    <w:rsid w:val="48F84EFD"/>
    <w:rsid w:val="49B648AD"/>
    <w:rsid w:val="49D73E29"/>
    <w:rsid w:val="4A2E43C5"/>
    <w:rsid w:val="4A877887"/>
    <w:rsid w:val="4A9039A8"/>
    <w:rsid w:val="4B3510ED"/>
    <w:rsid w:val="4B3C5B1D"/>
    <w:rsid w:val="4B426EAD"/>
    <w:rsid w:val="4B774600"/>
    <w:rsid w:val="4BAF5464"/>
    <w:rsid w:val="4BB21E26"/>
    <w:rsid w:val="4BD4211F"/>
    <w:rsid w:val="4C195358"/>
    <w:rsid w:val="4C8E1DAB"/>
    <w:rsid w:val="4CA02A52"/>
    <w:rsid w:val="4CA44BD6"/>
    <w:rsid w:val="4CAF6AD2"/>
    <w:rsid w:val="4CCF083F"/>
    <w:rsid w:val="4CFC5D0A"/>
    <w:rsid w:val="4D02427D"/>
    <w:rsid w:val="4D026F96"/>
    <w:rsid w:val="4D1F1490"/>
    <w:rsid w:val="4D811CD8"/>
    <w:rsid w:val="4DA31532"/>
    <w:rsid w:val="4DE028C1"/>
    <w:rsid w:val="4DEF4CF4"/>
    <w:rsid w:val="4E275F7D"/>
    <w:rsid w:val="4E5325C5"/>
    <w:rsid w:val="4EA03A19"/>
    <w:rsid w:val="4EB1172D"/>
    <w:rsid w:val="4EB3490C"/>
    <w:rsid w:val="4EDA35E4"/>
    <w:rsid w:val="4EDA649B"/>
    <w:rsid w:val="4F944E03"/>
    <w:rsid w:val="4FA570C5"/>
    <w:rsid w:val="4FCA5CB3"/>
    <w:rsid w:val="4FD8221D"/>
    <w:rsid w:val="50056EB3"/>
    <w:rsid w:val="500A265E"/>
    <w:rsid w:val="505F7E32"/>
    <w:rsid w:val="509B68F6"/>
    <w:rsid w:val="509F5160"/>
    <w:rsid w:val="50A2296C"/>
    <w:rsid w:val="50D900FC"/>
    <w:rsid w:val="51385495"/>
    <w:rsid w:val="51743385"/>
    <w:rsid w:val="51765D49"/>
    <w:rsid w:val="51925C78"/>
    <w:rsid w:val="51A2432A"/>
    <w:rsid w:val="51AE0B30"/>
    <w:rsid w:val="52092FB4"/>
    <w:rsid w:val="52174E31"/>
    <w:rsid w:val="521C3F3B"/>
    <w:rsid w:val="522A6CAE"/>
    <w:rsid w:val="525B71C6"/>
    <w:rsid w:val="526C0198"/>
    <w:rsid w:val="52721288"/>
    <w:rsid w:val="52917A7D"/>
    <w:rsid w:val="52961B7C"/>
    <w:rsid w:val="52E3538D"/>
    <w:rsid w:val="52FC4A09"/>
    <w:rsid w:val="53262AD3"/>
    <w:rsid w:val="53474514"/>
    <w:rsid w:val="542D2138"/>
    <w:rsid w:val="5445752C"/>
    <w:rsid w:val="54B80853"/>
    <w:rsid w:val="55006ADE"/>
    <w:rsid w:val="550F7C86"/>
    <w:rsid w:val="551E1E76"/>
    <w:rsid w:val="556E1667"/>
    <w:rsid w:val="558019FC"/>
    <w:rsid w:val="55CD115F"/>
    <w:rsid w:val="55D469DF"/>
    <w:rsid w:val="561644E5"/>
    <w:rsid w:val="56CF1BB9"/>
    <w:rsid w:val="570A0FC8"/>
    <w:rsid w:val="571334C1"/>
    <w:rsid w:val="57270BC0"/>
    <w:rsid w:val="574C6C56"/>
    <w:rsid w:val="5762518E"/>
    <w:rsid w:val="577B76A8"/>
    <w:rsid w:val="5791760B"/>
    <w:rsid w:val="57951BDB"/>
    <w:rsid w:val="57A04A26"/>
    <w:rsid w:val="57BA446B"/>
    <w:rsid w:val="57EB308F"/>
    <w:rsid w:val="58EF6272"/>
    <w:rsid w:val="59295BF0"/>
    <w:rsid w:val="59624C0A"/>
    <w:rsid w:val="597E473D"/>
    <w:rsid w:val="59B464B5"/>
    <w:rsid w:val="59B76FDE"/>
    <w:rsid w:val="59EC4A62"/>
    <w:rsid w:val="59F06636"/>
    <w:rsid w:val="5A1F7D65"/>
    <w:rsid w:val="5A4C6012"/>
    <w:rsid w:val="5A5C285E"/>
    <w:rsid w:val="5ADF23F3"/>
    <w:rsid w:val="5AFB1409"/>
    <w:rsid w:val="5B172E68"/>
    <w:rsid w:val="5B6E3E52"/>
    <w:rsid w:val="5BAA0409"/>
    <w:rsid w:val="5BCA7E93"/>
    <w:rsid w:val="5BD4004B"/>
    <w:rsid w:val="5BED7C84"/>
    <w:rsid w:val="5C2B161B"/>
    <w:rsid w:val="5C2B2355"/>
    <w:rsid w:val="5C7A4847"/>
    <w:rsid w:val="5CA80414"/>
    <w:rsid w:val="5CCA322A"/>
    <w:rsid w:val="5CEE164E"/>
    <w:rsid w:val="5E0C6DD0"/>
    <w:rsid w:val="5E2A7B26"/>
    <w:rsid w:val="5E2B17A6"/>
    <w:rsid w:val="5EF67EFB"/>
    <w:rsid w:val="5F751E60"/>
    <w:rsid w:val="5FD66919"/>
    <w:rsid w:val="5FE17227"/>
    <w:rsid w:val="602B2ADA"/>
    <w:rsid w:val="605516FE"/>
    <w:rsid w:val="60911398"/>
    <w:rsid w:val="60A070A6"/>
    <w:rsid w:val="60EB3531"/>
    <w:rsid w:val="61037FC0"/>
    <w:rsid w:val="61196A41"/>
    <w:rsid w:val="613826AF"/>
    <w:rsid w:val="613F67ED"/>
    <w:rsid w:val="614C546C"/>
    <w:rsid w:val="61CD679E"/>
    <w:rsid w:val="61F22D50"/>
    <w:rsid w:val="623A519F"/>
    <w:rsid w:val="628912DB"/>
    <w:rsid w:val="628D4783"/>
    <w:rsid w:val="628D6AED"/>
    <w:rsid w:val="62C70B85"/>
    <w:rsid w:val="62CE4BF2"/>
    <w:rsid w:val="62DC56FB"/>
    <w:rsid w:val="63177F61"/>
    <w:rsid w:val="632270BB"/>
    <w:rsid w:val="63A05D9B"/>
    <w:rsid w:val="63AC0532"/>
    <w:rsid w:val="640D4DB0"/>
    <w:rsid w:val="64594AFE"/>
    <w:rsid w:val="64C32BE3"/>
    <w:rsid w:val="64DA6EFC"/>
    <w:rsid w:val="651E4B07"/>
    <w:rsid w:val="656422B3"/>
    <w:rsid w:val="65722CDC"/>
    <w:rsid w:val="65851207"/>
    <w:rsid w:val="65B45C84"/>
    <w:rsid w:val="65DE0030"/>
    <w:rsid w:val="66126798"/>
    <w:rsid w:val="661F0264"/>
    <w:rsid w:val="6656609A"/>
    <w:rsid w:val="66786B7F"/>
    <w:rsid w:val="66CC7DF6"/>
    <w:rsid w:val="67052518"/>
    <w:rsid w:val="67191D02"/>
    <w:rsid w:val="67517DFF"/>
    <w:rsid w:val="6791419F"/>
    <w:rsid w:val="679B38AB"/>
    <w:rsid w:val="67E7336B"/>
    <w:rsid w:val="681E2882"/>
    <w:rsid w:val="683F63E8"/>
    <w:rsid w:val="69044DDB"/>
    <w:rsid w:val="69114C17"/>
    <w:rsid w:val="69697C0F"/>
    <w:rsid w:val="699569D2"/>
    <w:rsid w:val="69A37235"/>
    <w:rsid w:val="6A341D6B"/>
    <w:rsid w:val="6A901BDB"/>
    <w:rsid w:val="6ABE700E"/>
    <w:rsid w:val="6AD75FAE"/>
    <w:rsid w:val="6B282F07"/>
    <w:rsid w:val="6B4F53FD"/>
    <w:rsid w:val="6B6F6D0D"/>
    <w:rsid w:val="6B87781F"/>
    <w:rsid w:val="6B9F1762"/>
    <w:rsid w:val="6BC5359E"/>
    <w:rsid w:val="6C066211"/>
    <w:rsid w:val="6CD8278F"/>
    <w:rsid w:val="6CE55983"/>
    <w:rsid w:val="6D686EF3"/>
    <w:rsid w:val="6D6B3390"/>
    <w:rsid w:val="6DC35F80"/>
    <w:rsid w:val="6E1034CB"/>
    <w:rsid w:val="6E735CF5"/>
    <w:rsid w:val="6EFF5132"/>
    <w:rsid w:val="6F3F1D16"/>
    <w:rsid w:val="6F5F52F2"/>
    <w:rsid w:val="6F9456D5"/>
    <w:rsid w:val="702657B6"/>
    <w:rsid w:val="706529C9"/>
    <w:rsid w:val="726314FE"/>
    <w:rsid w:val="727232E0"/>
    <w:rsid w:val="72892CF6"/>
    <w:rsid w:val="72A67E0C"/>
    <w:rsid w:val="73295B43"/>
    <w:rsid w:val="733C7067"/>
    <w:rsid w:val="737F5BEF"/>
    <w:rsid w:val="738E4054"/>
    <w:rsid w:val="73CD5BCD"/>
    <w:rsid w:val="73E9788B"/>
    <w:rsid w:val="740B14D9"/>
    <w:rsid w:val="741722D4"/>
    <w:rsid w:val="743659DB"/>
    <w:rsid w:val="74E07A33"/>
    <w:rsid w:val="74ED6C79"/>
    <w:rsid w:val="752343D5"/>
    <w:rsid w:val="752363B8"/>
    <w:rsid w:val="756038AD"/>
    <w:rsid w:val="75A16944"/>
    <w:rsid w:val="75BB63F1"/>
    <w:rsid w:val="760A7463"/>
    <w:rsid w:val="765E6498"/>
    <w:rsid w:val="76790A13"/>
    <w:rsid w:val="768A1DE3"/>
    <w:rsid w:val="769B7F2C"/>
    <w:rsid w:val="769E23BE"/>
    <w:rsid w:val="76AF73F6"/>
    <w:rsid w:val="77293AD0"/>
    <w:rsid w:val="778441D7"/>
    <w:rsid w:val="77BB2167"/>
    <w:rsid w:val="78095066"/>
    <w:rsid w:val="78315BCB"/>
    <w:rsid w:val="78A03CFD"/>
    <w:rsid w:val="78C31FDA"/>
    <w:rsid w:val="78F20AD1"/>
    <w:rsid w:val="78F319B2"/>
    <w:rsid w:val="799B6CE6"/>
    <w:rsid w:val="7A0E4D36"/>
    <w:rsid w:val="7A1C13E4"/>
    <w:rsid w:val="7A276F37"/>
    <w:rsid w:val="7AD20BEF"/>
    <w:rsid w:val="7B0E0737"/>
    <w:rsid w:val="7B454847"/>
    <w:rsid w:val="7B4F3EB9"/>
    <w:rsid w:val="7B5F061A"/>
    <w:rsid w:val="7B9372A3"/>
    <w:rsid w:val="7C4C7CA3"/>
    <w:rsid w:val="7C860402"/>
    <w:rsid w:val="7CBD36F6"/>
    <w:rsid w:val="7CDF340B"/>
    <w:rsid w:val="7D005557"/>
    <w:rsid w:val="7D0C2918"/>
    <w:rsid w:val="7D1E330A"/>
    <w:rsid w:val="7D351003"/>
    <w:rsid w:val="7D4170B0"/>
    <w:rsid w:val="7D91125D"/>
    <w:rsid w:val="7D9D5E9E"/>
    <w:rsid w:val="7DA04C82"/>
    <w:rsid w:val="7E237953"/>
    <w:rsid w:val="7E7B667B"/>
    <w:rsid w:val="7E815F76"/>
    <w:rsid w:val="7ED10F64"/>
    <w:rsid w:val="7EE73F0F"/>
    <w:rsid w:val="7F0406A8"/>
    <w:rsid w:val="7F1C102F"/>
    <w:rsid w:val="7F72320C"/>
    <w:rsid w:val="7FCD250F"/>
    <w:rsid w:val="7FE62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1"/>
    <w:next w:val="1"/>
    <w:link w:val="90"/>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1"/>
    <w:semiHidden/>
    <w:unhideWhenUsed/>
    <w:qFormat/>
    <w:uiPriority w:val="0"/>
    <w:pPr>
      <w:ind w:left="849" w:hanging="283"/>
      <w:contextualSpacing/>
    </w:pPr>
  </w:style>
  <w:style w:type="paragraph" w:styleId="7">
    <w:name w:val="caption"/>
    <w:basedOn w:val="1"/>
    <w:next w:val="1"/>
    <w:qFormat/>
    <w:uiPriority w:val="0"/>
    <w:pPr>
      <w:widowControl w:val="0"/>
      <w:wordWrap w:val="0"/>
      <w:autoSpaceDE w:val="0"/>
      <w:spacing w:line="256" w:lineRule="auto"/>
    </w:pPr>
    <w:rPr>
      <w:b/>
      <w:bCs/>
      <w:kern w:val="3"/>
      <w:sz w:val="20"/>
      <w:szCs w:val="20"/>
    </w:rPr>
  </w:style>
  <w:style w:type="paragraph" w:styleId="8">
    <w:name w:val="Document Map"/>
    <w:basedOn w:val="1"/>
    <w:qFormat/>
    <w:uiPriority w:val="0"/>
    <w:rPr>
      <w:rFonts w:ascii="宋体" w:hAnsi="宋体" w:eastAsia="宋体"/>
      <w:sz w:val="18"/>
      <w:szCs w:val="18"/>
    </w:rPr>
  </w:style>
  <w:style w:type="paragraph" w:styleId="9">
    <w:name w:val="annotation text"/>
    <w:basedOn w:val="1"/>
    <w:link w:val="99"/>
    <w:qFormat/>
    <w:uiPriority w:val="99"/>
    <w:rPr>
      <w:rFonts w:eastAsia="宋体"/>
      <w:sz w:val="20"/>
      <w:szCs w:val="20"/>
      <w:lang w:eastAsia="en-US"/>
    </w:rPr>
  </w:style>
  <w:style w:type="paragraph" w:styleId="10">
    <w:name w:val="Body Text"/>
    <w:basedOn w:val="1"/>
    <w:qFormat/>
    <w:uiPriority w:val="0"/>
    <w:pPr>
      <w:spacing w:after="120"/>
    </w:pPr>
  </w:style>
  <w:style w:type="paragraph" w:styleId="11">
    <w:name w:val="List 2"/>
    <w:basedOn w:val="12"/>
    <w:semiHidden/>
    <w:unhideWhenUsed/>
    <w:qFormat/>
    <w:uiPriority w:val="0"/>
    <w:pPr>
      <w:ind w:left="566"/>
      <w:contextualSpacing/>
    </w:pPr>
  </w:style>
  <w:style w:type="paragraph" w:styleId="12">
    <w:name w:val="List"/>
    <w:basedOn w:val="1"/>
    <w:qFormat/>
    <w:uiPriority w:val="0"/>
    <w:pPr>
      <w:ind w:left="283" w:hanging="283"/>
    </w:pPr>
  </w:style>
  <w:style w:type="paragraph" w:styleId="13">
    <w:name w:val="Balloon Text"/>
    <w:basedOn w:val="1"/>
    <w:qFormat/>
    <w:uiPriority w:val="0"/>
    <w:rPr>
      <w:rFonts w:ascii="Segoe UI" w:hAnsi="Segoe UI" w:eastAsia="宋体" w:cs="Segoe UI"/>
      <w:sz w:val="18"/>
      <w:szCs w:val="18"/>
      <w:lang w:eastAsia="en-US"/>
    </w:rPr>
  </w:style>
  <w:style w:type="paragraph" w:styleId="14">
    <w:name w:val="footer"/>
    <w:basedOn w:val="1"/>
    <w:qFormat/>
    <w:uiPriority w:val="0"/>
    <w:pPr>
      <w:tabs>
        <w:tab w:val="center" w:pos="4153"/>
        <w:tab w:val="right" w:pos="8306"/>
      </w:tabs>
      <w:snapToGrid w:val="0"/>
    </w:pPr>
    <w:rPr>
      <w:rFonts w:eastAsia="宋体"/>
      <w:sz w:val="18"/>
      <w:szCs w:val="18"/>
      <w:lang w:eastAsia="en-US"/>
    </w:rPr>
  </w:style>
  <w:style w:type="paragraph" w:styleId="15">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6">
    <w:name w:val="Normal (Web)"/>
    <w:basedOn w:val="1"/>
    <w:qFormat/>
    <w:uiPriority w:val="99"/>
    <w:pPr>
      <w:spacing w:before="100" w:after="100"/>
    </w:pPr>
    <w:rPr>
      <w:rFonts w:eastAsia="Times New Roman"/>
      <w:lang w:eastAsia="en-US"/>
    </w:rPr>
  </w:style>
  <w:style w:type="paragraph" w:styleId="17">
    <w:name w:val="annotation subject"/>
    <w:basedOn w:val="9"/>
    <w:next w:val="9"/>
    <w:qFormat/>
    <w:uiPriority w:val="0"/>
    <w:rPr>
      <w:b/>
      <w:bCs/>
    </w:rPr>
  </w:style>
  <w:style w:type="table" w:styleId="19">
    <w:name w:val="Table Grid"/>
    <w:basedOn w:val="18"/>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Emphasis"/>
    <w:basedOn w:val="20"/>
    <w:qFormat/>
    <w:uiPriority w:val="20"/>
    <w:rPr>
      <w:i/>
      <w:iCs/>
    </w:rPr>
  </w:style>
  <w:style w:type="character" w:styleId="23">
    <w:name w:val="Hyperlink"/>
    <w:basedOn w:val="20"/>
    <w:qFormat/>
    <w:uiPriority w:val="99"/>
    <w:rPr>
      <w:color w:val="0563C1"/>
      <w:u w:val="single"/>
    </w:rPr>
  </w:style>
  <w:style w:type="character" w:styleId="24">
    <w:name w:val="annotation reference"/>
    <w:basedOn w:val="20"/>
    <w:qFormat/>
    <w:uiPriority w:val="99"/>
    <w:rPr>
      <w:sz w:val="16"/>
      <w:szCs w:val="16"/>
    </w:rPr>
  </w:style>
  <w:style w:type="character" w:customStyle="1" w:styleId="25">
    <w:name w:val="批注框文本 字符"/>
    <w:basedOn w:val="20"/>
    <w:qFormat/>
    <w:uiPriority w:val="0"/>
    <w:rPr>
      <w:rFonts w:ascii="Segoe UI" w:hAnsi="Segoe UI" w:cs="Segoe UI"/>
      <w:sz w:val="18"/>
      <w:szCs w:val="18"/>
    </w:rPr>
  </w:style>
  <w:style w:type="paragraph" w:styleId="26">
    <w:name w:val="List Paragraph"/>
    <w:basedOn w:val="1"/>
    <w:link w:val="73"/>
    <w:qFormat/>
    <w:uiPriority w:val="34"/>
    <w:pPr>
      <w:spacing w:line="256" w:lineRule="auto"/>
      <w:ind w:left="720"/>
    </w:pPr>
    <w:rPr>
      <w:rFonts w:eastAsia="宋体"/>
      <w:lang w:eastAsia="en-US"/>
    </w:rPr>
  </w:style>
  <w:style w:type="character" w:customStyle="1" w:styleId="27">
    <w:name w:val="批注文字 字符"/>
    <w:basedOn w:val="20"/>
    <w:qFormat/>
    <w:uiPriority w:val="0"/>
    <w:rPr>
      <w:sz w:val="20"/>
      <w:szCs w:val="20"/>
    </w:rPr>
  </w:style>
  <w:style w:type="character" w:customStyle="1" w:styleId="28">
    <w:name w:val="批注主题 字符"/>
    <w:basedOn w:val="27"/>
    <w:qFormat/>
    <w:uiPriority w:val="0"/>
    <w:rPr>
      <w:b/>
      <w:bCs/>
      <w:sz w:val="20"/>
      <w:szCs w:val="20"/>
    </w:rPr>
  </w:style>
  <w:style w:type="character" w:customStyle="1" w:styleId="29">
    <w:name w:val="TAL Char"/>
    <w:basedOn w:val="20"/>
    <w:qFormat/>
    <w:uiPriority w:val="0"/>
    <w:rPr>
      <w:rFonts w:ascii="Arial" w:hAnsi="Arial" w:cs="Arial"/>
    </w:rPr>
  </w:style>
  <w:style w:type="paragraph" w:customStyle="1" w:styleId="30">
    <w:name w:val="TAL"/>
    <w:basedOn w:val="1"/>
    <w:link w:val="80"/>
    <w:qFormat/>
    <w:uiPriority w:val="0"/>
    <w:pPr>
      <w:keepNext/>
    </w:pPr>
    <w:rPr>
      <w:rFonts w:ascii="Arial" w:hAnsi="Arial" w:cs="Arial"/>
    </w:rPr>
  </w:style>
  <w:style w:type="character" w:customStyle="1" w:styleId="31">
    <w:name w:val="TAH Car"/>
    <w:basedOn w:val="20"/>
    <w:qFormat/>
    <w:uiPriority w:val="0"/>
    <w:rPr>
      <w:rFonts w:ascii="Arial" w:hAnsi="Arial" w:cs="Arial"/>
      <w:b/>
      <w:bCs/>
      <w:lang w:eastAsia="en-GB"/>
    </w:rPr>
  </w:style>
  <w:style w:type="paragraph" w:customStyle="1" w:styleId="32">
    <w:name w:val="TAH"/>
    <w:basedOn w:val="1"/>
    <w:qFormat/>
    <w:uiPriority w:val="0"/>
    <w:pPr>
      <w:keepNext/>
      <w:overflowPunct w:val="0"/>
      <w:autoSpaceDE w:val="0"/>
      <w:jc w:val="center"/>
    </w:pPr>
    <w:rPr>
      <w:rFonts w:ascii="Arial" w:hAnsi="Arial" w:cs="Arial"/>
      <w:b/>
      <w:bCs/>
      <w:lang w:eastAsia="en-GB"/>
    </w:rPr>
  </w:style>
  <w:style w:type="character" w:customStyle="1" w:styleId="33">
    <w:name w:val="页眉 字符"/>
    <w:basedOn w:val="20"/>
    <w:qFormat/>
    <w:uiPriority w:val="0"/>
    <w:rPr>
      <w:sz w:val="18"/>
      <w:szCs w:val="18"/>
    </w:rPr>
  </w:style>
  <w:style w:type="character" w:customStyle="1" w:styleId="34">
    <w:name w:val="页脚 字符"/>
    <w:basedOn w:val="20"/>
    <w:qFormat/>
    <w:uiPriority w:val="0"/>
    <w:rPr>
      <w:sz w:val="18"/>
      <w:szCs w:val="18"/>
    </w:rPr>
  </w:style>
  <w:style w:type="character" w:customStyle="1" w:styleId="35">
    <w:name w:val="列表段落 字符"/>
    <w:basedOn w:val="20"/>
    <w:qFormat/>
    <w:uiPriority w:val="0"/>
  </w:style>
  <w:style w:type="character" w:customStyle="1" w:styleId="36">
    <w:name w:val="normaltextrun"/>
    <w:basedOn w:val="20"/>
    <w:qFormat/>
    <w:uiPriority w:val="0"/>
    <w:rPr>
      <w:rFonts w:ascii="Times New Roman" w:hAnsi="Times New Roman" w:cs="Times New Roman"/>
    </w:rPr>
  </w:style>
  <w:style w:type="character" w:customStyle="1" w:styleId="37">
    <w:name w:val="eop"/>
    <w:basedOn w:val="20"/>
    <w:qFormat/>
    <w:uiPriority w:val="0"/>
    <w:rPr>
      <w:rFonts w:ascii="Times New Roman" w:hAnsi="Times New Roman" w:cs="Times New Roman"/>
    </w:rPr>
  </w:style>
  <w:style w:type="paragraph" w:customStyle="1" w:styleId="38">
    <w:name w:val="paragraph"/>
    <w:basedOn w:val="1"/>
    <w:qFormat/>
    <w:uiPriority w:val="0"/>
    <w:pPr>
      <w:spacing w:before="100" w:after="100"/>
    </w:pPr>
    <w:rPr>
      <w:rFonts w:eastAsia="Malgun Gothic"/>
      <w:lang w:eastAsia="en-US"/>
    </w:rPr>
  </w:style>
  <w:style w:type="paragraph" w:customStyle="1" w:styleId="39">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0">
    <w:name w:val="Placeholder Text"/>
    <w:basedOn w:val="20"/>
    <w:qFormat/>
    <w:uiPriority w:val="0"/>
    <w:rPr>
      <w:color w:val="808080"/>
    </w:rPr>
  </w:style>
  <w:style w:type="character" w:customStyle="1" w:styleId="41">
    <w:name w:val="标题 1 字符"/>
    <w:basedOn w:val="20"/>
    <w:qFormat/>
    <w:uiPriority w:val="0"/>
    <w:rPr>
      <w:rFonts w:ascii="Arial" w:hAnsi="Arial" w:eastAsia="Batang" w:cs="Times New Roman"/>
      <w:sz w:val="32"/>
      <w:szCs w:val="32"/>
      <w:lang w:val="en-GB" w:eastAsia="ko-KR"/>
    </w:rPr>
  </w:style>
  <w:style w:type="paragraph" w:customStyle="1" w:styleId="42">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3">
    <w:name w:val="스타일 스타일 스타일 스타일 양쪽 첫 줄:  2 글자 + 첫 줄:  2 글자 + 첫 줄:  2 글자 + 첫 줄:  2... Char"/>
    <w:basedOn w:val="20"/>
    <w:qFormat/>
    <w:uiPriority w:val="0"/>
    <w:rPr>
      <w:rFonts w:ascii="Times New Roman" w:hAnsi="Times New Roman" w:eastAsia="Malgun Gothic" w:cs="Batang"/>
      <w:szCs w:val="20"/>
      <w:lang w:val="en-GB"/>
    </w:rPr>
  </w:style>
  <w:style w:type="paragraph" w:customStyle="1" w:styleId="44">
    <w:name w:val="proposal"/>
    <w:basedOn w:val="10"/>
    <w:next w:val="1"/>
    <w:qFormat/>
    <w:uiPriority w:val="0"/>
    <w:pPr>
      <w:numPr>
        <w:ilvl w:val="0"/>
        <w:numId w:val="2"/>
      </w:numPr>
    </w:pPr>
    <w:rPr>
      <w:rFonts w:eastAsia="宋体"/>
      <w:b/>
      <w:sz w:val="20"/>
      <w:szCs w:val="20"/>
      <w:lang w:eastAsia="zh-CN"/>
    </w:rPr>
  </w:style>
  <w:style w:type="paragraph" w:customStyle="1" w:styleId="45">
    <w:name w:val="bullet1"/>
    <w:basedOn w:val="1"/>
    <w:qFormat/>
    <w:uiPriority w:val="0"/>
    <w:pPr>
      <w:spacing w:after="120"/>
    </w:pPr>
    <w:rPr>
      <w:rFonts w:eastAsia="宋体"/>
      <w:sz w:val="20"/>
      <w:lang w:eastAsia="zh-CN"/>
    </w:rPr>
  </w:style>
  <w:style w:type="character" w:customStyle="1" w:styleId="46">
    <w:name w:val="proposal Char"/>
    <w:qFormat/>
    <w:uiPriority w:val="0"/>
    <w:rPr>
      <w:rFonts w:ascii="Times New Roman" w:hAnsi="Times New Roman" w:cs="Times New Roman"/>
      <w:b/>
      <w:sz w:val="20"/>
      <w:szCs w:val="20"/>
      <w:lang w:eastAsia="zh-CN"/>
    </w:rPr>
  </w:style>
  <w:style w:type="character" w:customStyle="1" w:styleId="47">
    <w:name w:val="bullet1 字符"/>
    <w:qFormat/>
    <w:uiPriority w:val="0"/>
    <w:rPr>
      <w:rFonts w:ascii="Times New Roman" w:hAnsi="Times New Roman" w:cs="Times New Roman"/>
      <w:sz w:val="20"/>
      <w:szCs w:val="24"/>
      <w:lang w:eastAsia="zh-CN"/>
    </w:rPr>
  </w:style>
  <w:style w:type="paragraph" w:customStyle="1" w:styleId="48">
    <w:name w:val="bullet2"/>
    <w:basedOn w:val="45"/>
    <w:qFormat/>
    <w:uiPriority w:val="0"/>
    <w:pPr>
      <w:ind w:left="1440" w:hanging="360"/>
    </w:pPr>
  </w:style>
  <w:style w:type="paragraph" w:customStyle="1" w:styleId="49">
    <w:name w:val="bullet3"/>
    <w:basedOn w:val="45"/>
    <w:qFormat/>
    <w:uiPriority w:val="0"/>
    <w:pPr>
      <w:numPr>
        <w:ilvl w:val="0"/>
        <w:numId w:val="3"/>
      </w:numPr>
      <w:tabs>
        <w:tab w:val="left" w:pos="360"/>
      </w:tabs>
    </w:pPr>
  </w:style>
  <w:style w:type="character" w:customStyle="1" w:styleId="50">
    <w:name w:val="正文文本 字符"/>
    <w:basedOn w:val="20"/>
    <w:qFormat/>
    <w:uiPriority w:val="0"/>
    <w:rPr>
      <w:rFonts w:ascii="Calibri" w:hAnsi="Calibri" w:eastAsia="等线" w:cs="Calibri"/>
      <w:lang w:eastAsia="ko-KR"/>
    </w:rPr>
  </w:style>
  <w:style w:type="character" w:customStyle="1" w:styleId="51">
    <w:name w:val="bullet2 字符"/>
    <w:basedOn w:val="47"/>
    <w:qFormat/>
    <w:uiPriority w:val="0"/>
    <w:rPr>
      <w:rFonts w:ascii="Times New Roman" w:hAnsi="Times New Roman" w:cs="Times New Roman"/>
      <w:sz w:val="20"/>
      <w:szCs w:val="24"/>
      <w:lang w:eastAsia="zh-CN"/>
    </w:rPr>
  </w:style>
  <w:style w:type="paragraph" w:customStyle="1" w:styleId="52">
    <w:name w:val="List Paragraph2"/>
    <w:basedOn w:val="1"/>
    <w:qFormat/>
    <w:uiPriority w:val="34"/>
    <w:pPr>
      <w:spacing w:after="200" w:line="276" w:lineRule="auto"/>
      <w:ind w:firstLine="420"/>
    </w:pPr>
    <w:rPr>
      <w:rFonts w:eastAsia="t"/>
      <w:sz w:val="20"/>
      <w:lang w:eastAsia="zh-CN"/>
    </w:rPr>
  </w:style>
  <w:style w:type="paragraph" w:customStyle="1" w:styleId="53">
    <w:name w:val="000_proposal"/>
    <w:basedOn w:val="1"/>
    <w:qFormat/>
    <w:uiPriority w:val="0"/>
    <w:pPr>
      <w:spacing w:before="120" w:after="120" w:line="264" w:lineRule="auto"/>
    </w:pPr>
    <w:rPr>
      <w:rFonts w:eastAsia="宋体"/>
      <w:b/>
      <w:bCs/>
      <w:i/>
      <w:iCs/>
      <w:sz w:val="20"/>
      <w:lang w:eastAsia="zh-CN"/>
    </w:rPr>
  </w:style>
  <w:style w:type="character" w:customStyle="1" w:styleId="54">
    <w:name w:val="000_proposal Char"/>
    <w:basedOn w:val="20"/>
    <w:qFormat/>
    <w:uiPriority w:val="0"/>
    <w:rPr>
      <w:rFonts w:ascii="Times New Roman" w:hAnsi="Times New Roman" w:cs="Times New Roman"/>
      <w:b/>
      <w:bCs/>
      <w:i/>
      <w:iCs/>
      <w:sz w:val="20"/>
      <w:szCs w:val="24"/>
      <w:lang w:eastAsia="zh-CN"/>
    </w:rPr>
  </w:style>
  <w:style w:type="paragraph" w:customStyle="1" w:styleId="55">
    <w:name w:val="00_Text"/>
    <w:basedOn w:val="1"/>
    <w:qFormat/>
    <w:uiPriority w:val="0"/>
    <w:pPr>
      <w:spacing w:before="120" w:after="120" w:line="264" w:lineRule="auto"/>
    </w:pPr>
    <w:rPr>
      <w:rFonts w:eastAsia="宋体"/>
      <w:sz w:val="20"/>
      <w:lang w:eastAsia="zh-CN"/>
    </w:rPr>
  </w:style>
  <w:style w:type="character" w:customStyle="1" w:styleId="56">
    <w:name w:val="00_Text Char"/>
    <w:basedOn w:val="20"/>
    <w:qFormat/>
    <w:uiPriority w:val="0"/>
    <w:rPr>
      <w:rFonts w:ascii="Times New Roman" w:hAnsi="Times New Roman" w:cs="Times New Roman"/>
      <w:sz w:val="20"/>
      <w:szCs w:val="24"/>
      <w:lang w:eastAsia="zh-CN"/>
    </w:rPr>
  </w:style>
  <w:style w:type="paragraph" w:customStyle="1" w:styleId="57">
    <w:name w:val="000_proposals"/>
    <w:basedOn w:val="55"/>
    <w:qFormat/>
    <w:uiPriority w:val="0"/>
    <w:pPr>
      <w:spacing w:before="0" w:line="240" w:lineRule="auto"/>
    </w:pPr>
    <w:rPr>
      <w:b/>
      <w:bCs/>
      <w:i/>
      <w:iCs/>
    </w:rPr>
  </w:style>
  <w:style w:type="character" w:customStyle="1" w:styleId="58">
    <w:name w:val="000_proposals Char"/>
    <w:basedOn w:val="56"/>
    <w:qFormat/>
    <w:uiPriority w:val="0"/>
    <w:rPr>
      <w:rFonts w:ascii="Times New Roman" w:hAnsi="Times New Roman" w:cs="Times New Roman"/>
      <w:b/>
      <w:bCs/>
      <w:i/>
      <w:iCs/>
      <w:sz w:val="20"/>
      <w:szCs w:val="24"/>
      <w:lang w:eastAsia="zh-CN"/>
    </w:rPr>
  </w:style>
  <w:style w:type="paragraph" w:customStyle="1" w:styleId="59">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0">
    <w:name w:val="LGTdoc_본문 Char"/>
    <w:qFormat/>
    <w:uiPriority w:val="0"/>
    <w:rPr>
      <w:rFonts w:ascii="Times New Roman" w:hAnsi="Times New Roman" w:eastAsia="Batang" w:cs="Times New Roman"/>
      <w:kern w:val="3"/>
      <w:szCs w:val="24"/>
      <w:lang w:val="en-GB" w:eastAsia="ko-KR"/>
    </w:rPr>
  </w:style>
  <w:style w:type="paragraph" w:customStyle="1" w:styleId="61">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2">
    <w:name w:val="0 Main text Char"/>
    <w:basedOn w:val="20"/>
    <w:qFormat/>
    <w:uiPriority w:val="0"/>
    <w:rPr>
      <w:rFonts w:ascii="Times New Roman" w:hAnsi="Times New Roman" w:eastAsia="Times New Roman" w:cs="Batang"/>
      <w:sz w:val="20"/>
      <w:szCs w:val="20"/>
      <w:lang w:val="en-GB"/>
    </w:rPr>
  </w:style>
  <w:style w:type="paragraph" w:customStyle="1" w:styleId="63">
    <w:name w:val="LGTdoc_제목1"/>
    <w:basedOn w:val="1"/>
    <w:qFormat/>
    <w:uiPriority w:val="0"/>
    <w:pPr>
      <w:snapToGrid w:val="0"/>
      <w:spacing w:after="100"/>
    </w:pPr>
    <w:rPr>
      <w:rFonts w:eastAsia="Batang"/>
      <w:b/>
      <w:sz w:val="28"/>
      <w:szCs w:val="20"/>
      <w:lang w:val="en-GB"/>
    </w:rPr>
  </w:style>
  <w:style w:type="paragraph" w:customStyle="1" w:styleId="64">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5">
    <w:name w:val="列出段落2"/>
    <w:basedOn w:val="1"/>
    <w:qFormat/>
    <w:uiPriority w:val="34"/>
    <w:pPr>
      <w:spacing w:after="200" w:line="276" w:lineRule="auto"/>
      <w:ind w:firstLine="420"/>
    </w:pPr>
    <w:rPr>
      <w:rFonts w:eastAsia="t"/>
      <w:sz w:val="20"/>
      <w:lang w:eastAsia="zh-CN"/>
    </w:rPr>
  </w:style>
  <w:style w:type="character" w:customStyle="1" w:styleId="66">
    <w:name w:val="题注 字符"/>
    <w:qFormat/>
    <w:uiPriority w:val="0"/>
    <w:rPr>
      <w:rFonts w:eastAsia="等线"/>
      <w:b/>
      <w:bCs/>
      <w:kern w:val="3"/>
      <w:sz w:val="20"/>
      <w:szCs w:val="20"/>
      <w:lang w:eastAsia="ko-KR"/>
    </w:rPr>
  </w:style>
  <w:style w:type="character" w:customStyle="1" w:styleId="67">
    <w:name w:val="msoins2"/>
    <w:qFormat/>
    <w:uiPriority w:val="0"/>
  </w:style>
  <w:style w:type="character" w:customStyle="1" w:styleId="68">
    <w:name w:val="清單段落 字元"/>
    <w:basedOn w:val="20"/>
    <w:qFormat/>
    <w:uiPriority w:val="34"/>
    <w:rPr>
      <w:rFonts w:ascii="Calibri" w:hAnsi="Calibri" w:cs="Calibri"/>
    </w:rPr>
  </w:style>
  <w:style w:type="character" w:customStyle="1" w:styleId="69">
    <w:name w:val="标题 2 字符"/>
    <w:basedOn w:val="20"/>
    <w:qFormat/>
    <w:uiPriority w:val="0"/>
    <w:rPr>
      <w:rFonts w:ascii="Times New Roman" w:hAnsi="Times New Roman" w:eastAsia="等线 Light" w:cs="Times New Roman"/>
      <w:sz w:val="28"/>
      <w:szCs w:val="26"/>
      <w:lang w:eastAsia="zh-TW"/>
    </w:rPr>
  </w:style>
  <w:style w:type="paragraph" w:styleId="70">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1">
    <w:name w:val="标题 3 字符"/>
    <w:basedOn w:val="20"/>
    <w:qFormat/>
    <w:uiPriority w:val="0"/>
    <w:rPr>
      <w:rFonts w:ascii="Times New Roman" w:hAnsi="Times New Roman" w:eastAsia="等线 Light" w:cs="Times New Roman"/>
      <w:color w:val="000000"/>
      <w:sz w:val="24"/>
      <w:szCs w:val="24"/>
      <w:lang w:eastAsia="zh-TW"/>
    </w:rPr>
  </w:style>
  <w:style w:type="character" w:customStyle="1" w:styleId="72">
    <w:name w:val="文档结构图 字符"/>
    <w:basedOn w:val="20"/>
    <w:qFormat/>
    <w:uiPriority w:val="0"/>
    <w:rPr>
      <w:rFonts w:ascii="宋体" w:hAnsi="宋体" w:cs="Calibri"/>
      <w:sz w:val="18"/>
      <w:szCs w:val="18"/>
      <w:lang w:eastAsia="zh-TW"/>
    </w:rPr>
  </w:style>
  <w:style w:type="character" w:customStyle="1" w:styleId="73">
    <w:name w:val="列表段落 字符1"/>
    <w:basedOn w:val="20"/>
    <w:link w:val="26"/>
    <w:qFormat/>
    <w:uiPriority w:val="34"/>
  </w:style>
  <w:style w:type="character" w:customStyle="1" w:styleId="74">
    <w:name w:val="apple-converted-space"/>
    <w:basedOn w:val="20"/>
    <w:qFormat/>
    <w:uiPriority w:val="0"/>
  </w:style>
  <w:style w:type="paragraph" w:customStyle="1" w:styleId="75">
    <w:name w:val="B1"/>
    <w:basedOn w:val="12"/>
    <w:link w:val="76"/>
    <w:qFormat/>
    <w:uiPriority w:val="0"/>
    <w:pPr>
      <w:spacing w:after="180"/>
      <w:ind w:left="568" w:hanging="284"/>
    </w:pPr>
    <w:rPr>
      <w:rFonts w:eastAsia="Times New Roman"/>
      <w:sz w:val="20"/>
      <w:szCs w:val="20"/>
      <w:lang w:eastAsia="en-US"/>
    </w:rPr>
  </w:style>
  <w:style w:type="character" w:customStyle="1" w:styleId="76">
    <w:name w:val="B1 Zchn"/>
    <w:link w:val="75"/>
    <w:qFormat/>
    <w:uiPriority w:val="0"/>
    <w:rPr>
      <w:rFonts w:ascii="Times New Roman" w:hAnsi="Times New Roman" w:eastAsia="Times New Roman"/>
      <w:sz w:val="20"/>
      <w:szCs w:val="20"/>
    </w:rPr>
  </w:style>
  <w:style w:type="character" w:customStyle="1" w:styleId="77">
    <w:name w:val="msoins"/>
    <w:basedOn w:val="20"/>
    <w:qFormat/>
    <w:uiPriority w:val="0"/>
  </w:style>
  <w:style w:type="paragraph" w:customStyle="1" w:styleId="78">
    <w:name w:val="x_msonormal"/>
    <w:basedOn w:val="1"/>
    <w:qFormat/>
    <w:uiPriority w:val="99"/>
    <w:rPr>
      <w:rFonts w:ascii="Calibri" w:hAnsi="Calibri" w:cs="Calibri"/>
      <w:sz w:val="22"/>
      <w:szCs w:val="22"/>
    </w:rPr>
  </w:style>
  <w:style w:type="character" w:customStyle="1" w:styleId="79">
    <w:name w:val="x_apple-converted-space"/>
    <w:basedOn w:val="20"/>
    <w:qFormat/>
    <w:uiPriority w:val="0"/>
  </w:style>
  <w:style w:type="character" w:customStyle="1" w:styleId="80">
    <w:name w:val="TAL Car"/>
    <w:basedOn w:val="20"/>
    <w:link w:val="30"/>
    <w:qFormat/>
    <w:uiPriority w:val="0"/>
    <w:rPr>
      <w:rFonts w:ascii="Arial" w:hAnsi="Arial" w:cs="Arial"/>
      <w:sz w:val="24"/>
      <w:szCs w:val="24"/>
      <w:lang w:eastAsia="ko-KR"/>
    </w:rPr>
  </w:style>
  <w:style w:type="character" w:customStyle="1" w:styleId="81">
    <w:name w:val="B1 Char1"/>
    <w:qFormat/>
    <w:uiPriority w:val="0"/>
    <w:rPr>
      <w:rFonts w:eastAsia="Times New Roman"/>
    </w:rPr>
  </w:style>
  <w:style w:type="paragraph" w:customStyle="1" w:styleId="82">
    <w:name w:val="table"/>
    <w:basedOn w:val="1"/>
    <w:next w:val="1"/>
    <w:link w:val="83"/>
    <w:qFormat/>
    <w:uiPriority w:val="0"/>
    <w:pPr>
      <w:numPr>
        <w:ilvl w:val="0"/>
        <w:numId w:val="5"/>
      </w:numPr>
      <w:spacing w:after="120"/>
      <w:jc w:val="center"/>
    </w:pPr>
    <w:rPr>
      <w:rFonts w:eastAsiaTheme="minorEastAsia"/>
      <w:sz w:val="20"/>
      <w:lang w:eastAsia="zh-CN"/>
    </w:rPr>
  </w:style>
  <w:style w:type="character" w:customStyle="1" w:styleId="83">
    <w:name w:val="table 字符"/>
    <w:basedOn w:val="20"/>
    <w:link w:val="82"/>
    <w:qFormat/>
    <w:uiPriority w:val="0"/>
    <w:rPr>
      <w:rFonts w:ascii="Times New Roman" w:hAnsi="Times New Roman" w:eastAsiaTheme="minorEastAsia"/>
      <w:szCs w:val="24"/>
    </w:rPr>
  </w:style>
  <w:style w:type="paragraph" w:customStyle="1" w:styleId="84">
    <w:name w:val="B2"/>
    <w:basedOn w:val="11"/>
    <w:link w:val="85"/>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5">
    <w:name w:val="B2 Char"/>
    <w:link w:val="84"/>
    <w:qFormat/>
    <w:uiPriority w:val="0"/>
    <w:rPr>
      <w:rFonts w:ascii="Times New Roman" w:hAnsi="Times New Roman" w:eastAsia="Times New Roman"/>
      <w:lang w:val="en-GB" w:eastAsia="ja-JP"/>
    </w:rPr>
  </w:style>
  <w:style w:type="paragraph" w:customStyle="1" w:styleId="86">
    <w:name w:val="B3"/>
    <w:basedOn w:val="6"/>
    <w:link w:val="87"/>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7">
    <w:name w:val="B3 Char2"/>
    <w:link w:val="86"/>
    <w:qFormat/>
    <w:uiPriority w:val="0"/>
    <w:rPr>
      <w:rFonts w:ascii="Times New Roman" w:hAnsi="Times New Roman" w:eastAsia="Times New Roman"/>
      <w:lang w:val="en-GB" w:eastAsia="ja-JP"/>
    </w:rPr>
  </w:style>
  <w:style w:type="paragraph" w:customStyle="1" w:styleId="88">
    <w:name w:val="Doc-text2"/>
    <w:basedOn w:val="1"/>
    <w:link w:val="89"/>
    <w:qFormat/>
    <w:uiPriority w:val="0"/>
    <w:pPr>
      <w:tabs>
        <w:tab w:val="left" w:pos="1622"/>
      </w:tabs>
      <w:ind w:left="1622" w:hanging="363"/>
    </w:pPr>
    <w:rPr>
      <w:rFonts w:ascii="Arial" w:hAnsi="Arial" w:eastAsia="MS Mincho"/>
      <w:sz w:val="20"/>
      <w:lang w:val="en-GB" w:eastAsia="en-GB"/>
    </w:rPr>
  </w:style>
  <w:style w:type="character" w:customStyle="1" w:styleId="89">
    <w:name w:val="Doc-text2 Char"/>
    <w:link w:val="88"/>
    <w:qFormat/>
    <w:uiPriority w:val="0"/>
    <w:rPr>
      <w:rFonts w:ascii="Arial" w:hAnsi="Arial" w:eastAsia="MS Mincho"/>
      <w:szCs w:val="24"/>
      <w:lang w:val="en-GB" w:eastAsia="en-GB"/>
    </w:rPr>
  </w:style>
  <w:style w:type="character" w:customStyle="1" w:styleId="90">
    <w:name w:val="标题 4 字符"/>
    <w:basedOn w:val="20"/>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1">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3">
    <w:name w:val="PL Char"/>
    <w:link w:val="92"/>
    <w:qFormat/>
    <w:uiPriority w:val="0"/>
    <w:rPr>
      <w:rFonts w:ascii="Courier New" w:hAnsi="Courier New" w:eastAsia="Times New Roman"/>
      <w:sz w:val="16"/>
      <w:shd w:val="clear" w:color="auto" w:fill="E6E6E6"/>
      <w:lang w:val="en-GB" w:eastAsia="en-GB"/>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5">
    <w:name w:val="TH Char"/>
    <w:link w:val="94"/>
    <w:qFormat/>
    <w:uiPriority w:val="0"/>
    <w:rPr>
      <w:rFonts w:ascii="Arial" w:hAnsi="Arial" w:eastAsia="Times New Roman"/>
      <w:b/>
      <w:lang w:val="en-GB" w:eastAsia="ja-JP"/>
    </w:rPr>
  </w:style>
  <w:style w:type="paragraph" w:customStyle="1" w:styleId="96">
    <w:name w:val="x_xxmsonormal"/>
    <w:basedOn w:val="1"/>
    <w:qFormat/>
    <w:uiPriority w:val="99"/>
    <w:rPr>
      <w:rFonts w:eastAsia="Malgun Gothic"/>
    </w:rPr>
  </w:style>
  <w:style w:type="paragraph" w:customStyle="1" w:styleId="97">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98">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99">
    <w:name w:val="批注文字 字符1"/>
    <w:link w:val="9"/>
    <w:qFormat/>
    <w:uiPriority w:val="99"/>
    <w:rPr>
      <w:rFonts w:ascii="Times New Roman" w:hAnsi="Times New Roman" w:eastAsia="宋体"/>
      <w:lang w:eastAsia="en-US"/>
    </w:rPr>
  </w:style>
  <w:style w:type="character" w:customStyle="1" w:styleId="100">
    <w:name w:val="B1 (文字)"/>
    <w:qFormat/>
    <w:locked/>
    <w:uiPriority w:val="0"/>
    <w:rPr>
      <w:rFonts w:ascii="Times New Roman" w:hAnsi="Times New Roman" w:eastAsia="宋体"/>
      <w:lang w:val="en-GB" w:eastAsia="en-US"/>
    </w:rPr>
  </w:style>
  <w:style w:type="paragraph" w:customStyle="1" w:styleId="101">
    <w:name w:val="B4"/>
    <w:basedOn w:val="1"/>
    <w:qFormat/>
    <w:uiPriority w:val="0"/>
    <w:pPr>
      <w:spacing w:after="200" w:line="276" w:lineRule="auto"/>
      <w:ind w:left="1418" w:hanging="284"/>
    </w:pPr>
    <w:rPr>
      <w:rFonts w:eastAsia="t"/>
      <w:sz w:val="20"/>
      <w:szCs w:val="22"/>
      <w:lang w:eastAsia="zh-CN"/>
    </w:rPr>
  </w:style>
  <w:style w:type="paragraph" w:customStyle="1" w:styleId="102">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3">
    <w:name w:val="B1 Char"/>
    <w:qFormat/>
    <w:locked/>
    <w:uiPriority w:val="0"/>
    <w:rPr>
      <w:rFonts w:eastAsia="宋体"/>
      <w:lang w:val="en-GB"/>
    </w:rPr>
  </w:style>
  <w:style w:type="paragraph" w:customStyle="1" w:styleId="104">
    <w:name w:val="Normal 9 point spacing"/>
    <w:basedOn w:val="10"/>
    <w:link w:val="105"/>
    <w:qFormat/>
    <w:uiPriority w:val="0"/>
    <w:pPr>
      <w:spacing w:before="240" w:after="60"/>
    </w:pPr>
    <w:rPr>
      <w:rFonts w:eastAsia="MS Mincho"/>
      <w:sz w:val="20"/>
      <w:lang w:val="zh-CN" w:eastAsia="en-US"/>
    </w:rPr>
  </w:style>
  <w:style w:type="character" w:customStyle="1" w:styleId="105">
    <w:name w:val="Normal 9 point spacing Char"/>
    <w:link w:val="104"/>
    <w:qFormat/>
    <w:uiPriority w:val="0"/>
    <w:rPr>
      <w:rFonts w:ascii="Times New Roman" w:hAnsi="Times New Roman" w:eastAsia="MS Mincho"/>
      <w:szCs w:val="24"/>
      <w:lang w:val="zh-CN" w:eastAsia="en-US"/>
    </w:rPr>
  </w:style>
  <w:style w:type="paragraph" w:customStyle="1" w:styleId="106">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7">
    <w:name w:val="标题 31"/>
    <w:basedOn w:val="1"/>
    <w:next w:val="106"/>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08">
    <w:name w:val="标题 41"/>
    <w:basedOn w:val="1"/>
    <w:next w:val="106"/>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09">
    <w:name w:val="tabletext"/>
    <w:basedOn w:val="82"/>
    <w:qFormat/>
    <w:uiPriority w:val="0"/>
    <w:pPr>
      <w:numPr>
        <w:numId w:val="0"/>
      </w:numPr>
      <w:spacing w:after="0"/>
    </w:pPr>
  </w:style>
  <w:style w:type="paragraph" w:customStyle="1" w:styleId="110">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1">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oleObject" Target="embeddings/oleObject1.bin"/><Relationship Id="rId39" Type="http://schemas.openxmlformats.org/officeDocument/2006/relationships/image" Target="media/image19.png"/><Relationship Id="rId38" Type="http://schemas.openxmlformats.org/officeDocument/2006/relationships/image" Target="media/image18.wmf"/><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2D59C-056B-4389-9342-1D78EB321C3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20</Pages>
  <Words>7107</Words>
  <Characters>40514</Characters>
  <Lines>337</Lines>
  <Paragraphs>95</Paragraphs>
  <TotalTime>1</TotalTime>
  <ScaleCrop>false</ScaleCrop>
  <LinksUpToDate>false</LinksUpToDate>
  <CharactersWithSpaces>47526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2022-05-11T01:18:00Z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2022-05-11T14:46:14Z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1651719057</vt:lpwstr>
  </property>
</Properties>
</file>